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2A0" w:rsidRDefault="003002A0" w:rsidP="003002A0">
      <w:pPr>
        <w:pStyle w:val="4"/>
        <w:rPr>
          <w:lang w:val="ru-RU"/>
        </w:rPr>
      </w:pPr>
      <w:r>
        <w:rPr>
          <w:lang w:val="ru-RU"/>
        </w:rPr>
        <w:t>Лекция 13.</w:t>
      </w:r>
    </w:p>
    <w:p w:rsidR="004B1C8C" w:rsidRDefault="004B1C8C" w:rsidP="004B1C8C">
      <w:r>
        <w:t xml:space="preserve">Твердотельные лазеры. Общая характеристика и особенности. Устройство. Генераторы на рубине и неодиме. </w:t>
      </w:r>
    </w:p>
    <w:p w:rsidR="004B1C8C" w:rsidRDefault="004B1C8C" w:rsidP="004B1C8C"/>
    <w:p w:rsidR="004B1C8C" w:rsidRPr="004B1C8C" w:rsidRDefault="004B1C8C" w:rsidP="004B1C8C"/>
    <w:p w:rsidR="002F15CC" w:rsidRDefault="002603C3" w:rsidP="00872E7A">
      <w:r>
        <w:t>В твердотельных лазерах активным веществом является диэлектрик в конденсированной фазе, в котором генерирующими центрами являю</w:t>
      </w:r>
      <w:r>
        <w:t>т</w:t>
      </w:r>
      <w:r>
        <w:t>ся специально введённые активные атомы.</w:t>
      </w:r>
    </w:p>
    <w:p w:rsidR="002603C3" w:rsidRDefault="002603C3" w:rsidP="00872E7A">
      <w:r>
        <w:t>процессы в твердотельных и жидкостных лазерах имеют много общего и, следовательно, оба типа л</w:t>
      </w:r>
      <w:r>
        <w:t>а</w:t>
      </w:r>
      <w:r>
        <w:t>зеров целесообразно рассматривать вместе. Концентрация активных атомов обычно составляет единицы или доли процента от полного числа атомов в среде, т.е. активное вещество в рассматриваемых типах лазеров представляет собой раствор или подобную ему среду слабой концентр</w:t>
      </w:r>
      <w:r>
        <w:t>а</w:t>
      </w:r>
      <w:r>
        <w:t>ции, подобной идеальному газу. Однако, по сравнению с газовыми лаз</w:t>
      </w:r>
      <w:r>
        <w:t>е</w:t>
      </w:r>
      <w:r>
        <w:t>рами, концентрация отдельных частиц в твердотельных и жидкостных лазерах всё же намного превышает концентрацию в газовых, что позволяет достигнуть большей плотности инверсии населённостей и больш</w:t>
      </w:r>
      <w:r>
        <w:t>о</w:t>
      </w:r>
      <w:r>
        <w:t>го удельного энергосъёма. Однако, существенным недостатком  таких лазеров, из-за особенностей активного вещества, является ограничение способов накачки, практически единственным способом является обл</w:t>
      </w:r>
      <w:r>
        <w:t>у</w:t>
      </w:r>
      <w:r>
        <w:t>чение вещества светом (оптическая нака</w:t>
      </w:r>
      <w:r>
        <w:t>ч</w:t>
      </w:r>
      <w:r>
        <w:t>ка).</w:t>
      </w:r>
    </w:p>
    <w:p w:rsidR="00D328DB" w:rsidRDefault="00D328DB" w:rsidP="00872E7A">
      <w:r>
        <w:t>Энергетические уровни  отдельных атомов в твёрдом и жидком т</w:t>
      </w:r>
      <w:r>
        <w:t>е</w:t>
      </w:r>
      <w:r>
        <w:t>лах находятся в поле, создаваемом всеми остальными, близко распол</w:t>
      </w:r>
      <w:r>
        <w:t>о</w:t>
      </w:r>
      <w:r>
        <w:t>женными, атомами, что приводит к существенному отличию энергет</w:t>
      </w:r>
      <w:r>
        <w:t>и</w:t>
      </w:r>
      <w:r>
        <w:t>ческой структуры от уровней энергии изолированных атомов. Это выз</w:t>
      </w:r>
      <w:r>
        <w:t>ы</w:t>
      </w:r>
      <w:r>
        <w:t>вает расщепление отдельных дискретных уровней и превращению их в энергетические зоны или полосы. Особенно это характерно для уровней энергии, соответствующей внешним электронам в атоме.</w:t>
      </w:r>
    </w:p>
    <w:p w:rsidR="00D328DB" w:rsidRDefault="00D328DB" w:rsidP="00872E7A">
      <w:r>
        <w:t>Основными требованиями, которым должны удовлетворять матр</w:t>
      </w:r>
      <w:r>
        <w:t>и</w:t>
      </w:r>
      <w:r>
        <w:t>цы лазерных диэле</w:t>
      </w:r>
      <w:r>
        <w:t>к</w:t>
      </w:r>
      <w:r>
        <w:t>триков, являются следующие условия:</w:t>
      </w:r>
    </w:p>
    <w:p w:rsidR="00D328DB" w:rsidRDefault="00D328DB" w:rsidP="00872E7A">
      <w:r>
        <w:t>Матрица должна обладать хорошими оптическими свойствами – оптической однородностью, прозрачностью для лазерного излучения, поглощением в области излучения исто</w:t>
      </w:r>
      <w:r>
        <w:t>ч</w:t>
      </w:r>
      <w:r>
        <w:t>ника накачки.</w:t>
      </w:r>
    </w:p>
    <w:p w:rsidR="00D328DB" w:rsidRDefault="00D328DB" w:rsidP="00872E7A">
      <w:r>
        <w:t>Матрица должна быть согласована с активатором, чтобы можно было вводить заданный активатор в регулируемых количествах без нарушения её мех</w:t>
      </w:r>
      <w:r>
        <w:t>а</w:t>
      </w:r>
      <w:r>
        <w:t>нических и оптических свойств.</w:t>
      </w:r>
    </w:p>
    <w:p w:rsidR="00D328DB" w:rsidRDefault="00D328DB" w:rsidP="00872E7A">
      <w:r>
        <w:lastRenderedPageBreak/>
        <w:t>Матрица должна обладать хорошей теплопроводностью, чтобы и</w:t>
      </w:r>
      <w:r>
        <w:t>с</w:t>
      </w:r>
      <w:r>
        <w:t>ключить термические деформации и термооптические искажения.</w:t>
      </w:r>
    </w:p>
    <w:p w:rsidR="00D328DB" w:rsidRDefault="00D328DB" w:rsidP="00872E7A">
      <w:r>
        <w:t>Матрица должна обладать высокой стойкостью по отношению к л</w:t>
      </w:r>
      <w:r>
        <w:t>а</w:t>
      </w:r>
      <w:r>
        <w:t>зерному излучению и мощному излучению накачки.</w:t>
      </w:r>
    </w:p>
    <w:p w:rsidR="00D328DB" w:rsidRDefault="00D328DB" w:rsidP="00872E7A">
      <w:r>
        <w:t>Наилучшими свойствами обл</w:t>
      </w:r>
      <w:r>
        <w:t>а</w:t>
      </w:r>
      <w:r>
        <w:t>дают: рубин (</w:t>
      </w:r>
      <w:r>
        <w:rPr>
          <w:lang w:val="en-US"/>
        </w:rPr>
        <w:t>Al</w:t>
      </w:r>
      <w:r>
        <w:rPr>
          <w:vertAlign w:val="subscript"/>
        </w:rPr>
        <w:t xml:space="preserve">2 </w:t>
      </w:r>
      <w:r>
        <w:rPr>
          <w:lang w:val="en-US"/>
        </w:rPr>
        <w:t>O</w:t>
      </w:r>
      <w:r>
        <w:rPr>
          <w:vertAlign w:val="subscript"/>
        </w:rPr>
        <w:t xml:space="preserve">3 </w:t>
      </w:r>
      <w:r>
        <w:t xml:space="preserve">: </w:t>
      </w:r>
      <w:r>
        <w:rPr>
          <w:lang w:val="en-US"/>
        </w:rPr>
        <w:t>Cr</w:t>
      </w:r>
      <w:r>
        <w:rPr>
          <w:vertAlign w:val="superscript"/>
        </w:rPr>
        <w:t>3+</w:t>
      </w:r>
      <w:r>
        <w:t>), алюмоиттриевый гранат с примесью неодима (</w:t>
      </w:r>
      <w:r>
        <w:rPr>
          <w:lang w:val="en-US"/>
        </w:rPr>
        <w:t>Y</w:t>
      </w:r>
      <w:r>
        <w:rPr>
          <w:vertAlign w:val="subscript"/>
        </w:rPr>
        <w:t xml:space="preserve">3 </w:t>
      </w:r>
      <w:r>
        <w:rPr>
          <w:lang w:val="en-US"/>
        </w:rPr>
        <w:t>Al</w:t>
      </w:r>
      <w:r>
        <w:rPr>
          <w:vertAlign w:val="subscript"/>
        </w:rPr>
        <w:t>5</w:t>
      </w:r>
      <w:r>
        <w:t xml:space="preserve"> </w:t>
      </w:r>
      <w:r>
        <w:rPr>
          <w:lang w:val="en-US"/>
        </w:rPr>
        <w:t>O</w:t>
      </w:r>
      <w:r>
        <w:rPr>
          <w:vertAlign w:val="subscript"/>
        </w:rPr>
        <w:t xml:space="preserve">12 </w:t>
      </w:r>
      <w:r>
        <w:t xml:space="preserve">: </w:t>
      </w:r>
      <w:r>
        <w:rPr>
          <w:lang w:val="en-US"/>
        </w:rPr>
        <w:t>Nd</w:t>
      </w:r>
      <w:r>
        <w:rPr>
          <w:vertAlign w:val="superscript"/>
        </w:rPr>
        <w:t>3+</w:t>
      </w:r>
      <w:r>
        <w:t>), стекло с неодимом, иттербий - эрбиевое стекло, алюминат иттрия с неодимом (</w:t>
      </w:r>
      <w:r>
        <w:rPr>
          <w:lang w:val="en-US"/>
        </w:rPr>
        <w:t>Y</w:t>
      </w:r>
      <w:r>
        <w:t xml:space="preserve"> </w:t>
      </w:r>
      <w:r>
        <w:rPr>
          <w:lang w:val="en-US"/>
        </w:rPr>
        <w:t>Al</w:t>
      </w:r>
      <w:r w:rsidRPr="0025729C">
        <w:rPr>
          <w:position w:val="-10"/>
          <w:lang w:val="en-US"/>
        </w:rPr>
        <w:object w:dxaOrig="1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25pt;height:17.25pt" o:ole="">
            <v:imagedata r:id="rId5" o:title=""/>
          </v:shape>
          <o:OLEObject Type="Embed" ProgID="Equation.3" ShapeID="_x0000_i1025" DrawAspect="Content" ObjectID="_1322247173" r:id="rId6"/>
        </w:object>
      </w:r>
      <w:r>
        <w:rPr>
          <w:lang w:val="en-US"/>
        </w:rPr>
        <w:t>O</w:t>
      </w:r>
      <w:r>
        <w:rPr>
          <w:vertAlign w:val="subscript"/>
        </w:rPr>
        <w:t>3</w:t>
      </w:r>
      <w:r>
        <w:t xml:space="preserve"> : </w:t>
      </w:r>
      <w:r>
        <w:rPr>
          <w:lang w:val="en-US"/>
        </w:rPr>
        <w:t>Nd</w:t>
      </w:r>
      <w:r>
        <w:rPr>
          <w:vertAlign w:val="superscript"/>
        </w:rPr>
        <w:t>3+</w:t>
      </w:r>
      <w:r>
        <w:t>) и ряд других с</w:t>
      </w:r>
      <w:r>
        <w:t>о</w:t>
      </w:r>
      <w:r>
        <w:t>единений.</w:t>
      </w:r>
    </w:p>
    <w:p w:rsidR="00D328DB" w:rsidRDefault="00D328DB" w:rsidP="00872E7A">
      <w:r>
        <w:t>При ламповой оптической накачке наибольшей КПД получен в л</w:t>
      </w:r>
      <w:r>
        <w:t>а</w:t>
      </w:r>
      <w:r>
        <w:t>зере на стекле с пр</w:t>
      </w:r>
      <w:r>
        <w:t>и</w:t>
      </w:r>
      <w:r>
        <w:t>месью неодима (8%).</w:t>
      </w:r>
    </w:p>
    <w:p w:rsidR="00D328DB" w:rsidRDefault="00D328DB" w:rsidP="00872E7A"/>
    <w:p w:rsidR="008A4A03" w:rsidRPr="008A4A03" w:rsidRDefault="008A4A03" w:rsidP="00872E7A">
      <w:pPr>
        <w:rPr>
          <w:b/>
        </w:rPr>
      </w:pPr>
      <w:r w:rsidRPr="008A4A03">
        <w:rPr>
          <w:b/>
        </w:rPr>
        <w:t>Источники накачки</w:t>
      </w:r>
    </w:p>
    <w:p w:rsidR="00D328DB" w:rsidRDefault="008A4A03" w:rsidP="00872E7A">
      <w:r>
        <w:t>Спектр излучения источника всегда находится в области частот больших частоты излучения лазера, т.е. излучение лампы накачки см</w:t>
      </w:r>
      <w:r>
        <w:t>ё</w:t>
      </w:r>
      <w:r>
        <w:t>щено в более коротковолновую часть спектра. В силу этого для генер</w:t>
      </w:r>
      <w:r>
        <w:t>а</w:t>
      </w:r>
      <w:r>
        <w:t>ции лазерного излучения в видимом диапазоне необходимо, чтобы ла</w:t>
      </w:r>
      <w:r>
        <w:t>м</w:t>
      </w:r>
      <w:r>
        <w:t>па накачки излучала свет в области фиолетовых и ультрафиолетовых длин волн. Для этого необходимы источники с высокой температурой поверхности</w:t>
      </w:r>
    </w:p>
    <w:p w:rsidR="008A4A03" w:rsidRPr="0025729C" w:rsidRDefault="008A4A03" w:rsidP="00872E7A">
      <w:r>
        <w:t>Наиболее важными параметрами таких источников являются: КПД, спектральный состав излучения, предельно допустимая мощность (эне</w:t>
      </w:r>
      <w:r>
        <w:t>р</w:t>
      </w:r>
      <w:r>
        <w:t xml:space="preserve">гия). КПД – </w:t>
      </w:r>
      <w:r>
        <w:rPr>
          <w:rFonts w:ascii="Symbol" w:hAnsi="Symbol"/>
          <w:i/>
          <w:lang w:val="en-US"/>
        </w:rPr>
        <w:t></w:t>
      </w:r>
      <w:r>
        <w:rPr>
          <w:i/>
          <w:vertAlign w:val="subscript"/>
        </w:rPr>
        <w:t>л</w:t>
      </w:r>
      <w:r>
        <w:t xml:space="preserve"> определяется как отношение излучаемой энергии -</w:t>
      </w:r>
      <w:r>
        <w:rPr>
          <w:i/>
          <w:lang w:val="en-US"/>
        </w:rPr>
        <w:t>U</w:t>
      </w:r>
      <w:r>
        <w:rPr>
          <w:i/>
          <w:vertAlign w:val="subscript"/>
        </w:rPr>
        <w:t>л</w:t>
      </w:r>
      <w:r>
        <w:t xml:space="preserve"> к потребляемой эле</w:t>
      </w:r>
      <w:r>
        <w:t>к</w:t>
      </w:r>
      <w:r>
        <w:t>трической энергии -</w:t>
      </w:r>
      <w:r>
        <w:rPr>
          <w:i/>
          <w:lang w:val="en-US"/>
        </w:rPr>
        <w:t>U</w:t>
      </w:r>
      <w:r>
        <w:rPr>
          <w:i/>
          <w:vertAlign w:val="subscript"/>
        </w:rPr>
        <w:t xml:space="preserve">е </w:t>
      </w:r>
      <w:r>
        <w:rPr>
          <w:i/>
        </w:rPr>
        <w:t>,</w:t>
      </w:r>
      <w:r>
        <w:t xml:space="preserve"> т.е.  </w:t>
      </w:r>
      <w:r>
        <w:rPr>
          <w:rFonts w:ascii="Symbol" w:hAnsi="Symbol"/>
          <w:i/>
          <w:lang w:val="en-US"/>
        </w:rPr>
        <w:t></w:t>
      </w:r>
      <w:r>
        <w:rPr>
          <w:i/>
          <w:vertAlign w:val="subscript"/>
        </w:rPr>
        <w:t xml:space="preserve">л = </w:t>
      </w:r>
      <w:r>
        <w:rPr>
          <w:i/>
          <w:lang w:val="en-US"/>
        </w:rPr>
        <w:t>U</w:t>
      </w:r>
      <w:r>
        <w:rPr>
          <w:i/>
          <w:vertAlign w:val="subscript"/>
        </w:rPr>
        <w:t xml:space="preserve">л </w:t>
      </w:r>
      <w:r>
        <w:rPr>
          <w:i/>
        </w:rPr>
        <w:t xml:space="preserve">/ </w:t>
      </w:r>
      <w:r>
        <w:rPr>
          <w:i/>
          <w:lang w:val="en-US"/>
        </w:rPr>
        <w:t>U</w:t>
      </w:r>
      <w:r>
        <w:rPr>
          <w:i/>
          <w:vertAlign w:val="subscript"/>
        </w:rPr>
        <w:t>е</w:t>
      </w:r>
    </w:p>
    <w:p w:rsidR="008A4A03" w:rsidRDefault="008A4A03" w:rsidP="00872E7A">
      <w:r>
        <w:t>Как правило, для накачки твердотельных лазеров используются и</w:t>
      </w:r>
      <w:r>
        <w:t>м</w:t>
      </w:r>
      <w:r>
        <w:t>пульсные газоразрядные лампы, заполненные ксеноном или парами рт</w:t>
      </w:r>
      <w:r>
        <w:t>у</w:t>
      </w:r>
      <w:r>
        <w:t>ти или галогенные лампы накаливания, в которых лампа заполняется п</w:t>
      </w:r>
      <w:r>
        <w:t>а</w:t>
      </w:r>
      <w:r>
        <w:t>рами йода или фтора, или же смесью различных галогенов. Наиболее распространены лампы с йодным циклом. Галогенные лампы в основном используются для накачки в непрерывном режиме. Галогены восстанавливают накальную нить и предотвращают её распыление. В пр</w:t>
      </w:r>
      <w:r>
        <w:t>о</w:t>
      </w:r>
      <w:r>
        <w:t>цессе горения лампы при высокой температуре происходит распыление вольфрамовой нити. В результате происходит затемнение поверхности стеклянного баллона за счёт оседания распылённого вольфрама. Галог</w:t>
      </w:r>
      <w:r>
        <w:t>е</w:t>
      </w:r>
      <w:r>
        <w:t>ны вступают в реакцию с парами вольфрама, и образующееся соедин</w:t>
      </w:r>
      <w:r>
        <w:t>е</w:t>
      </w:r>
      <w:r>
        <w:t>ние возвращается на нить, где происходит восстановление вольфрама.</w:t>
      </w:r>
    </w:p>
    <w:p w:rsidR="008A4A03" w:rsidRDefault="008A4A03" w:rsidP="00872E7A">
      <w:r>
        <w:t>На рисунках 20.2, 20.3, 20.4 приведены характерные спектры изл</w:t>
      </w:r>
      <w:r>
        <w:t>у</w:t>
      </w:r>
      <w:r>
        <w:t>чения ртутной, ксеноновой газоразрядных ламп и лампы накаливания с йодным ци</w:t>
      </w:r>
      <w:r>
        <w:t>к</w:t>
      </w:r>
      <w:r>
        <w:t>лом.</w:t>
      </w:r>
    </w:p>
    <w:p w:rsidR="008A4A03" w:rsidRDefault="00B55838" w:rsidP="00872E7A">
      <w:r>
        <w:rPr>
          <w:noProof/>
        </w:rPr>
        <w:lastRenderedPageBreak/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540385</wp:posOffset>
            </wp:positionV>
            <wp:extent cx="3238500" cy="3838575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A03">
        <w:rPr>
          <w:b/>
        </w:rPr>
        <w:t>Системы оптической накачки.</w:t>
      </w:r>
      <w:r w:rsidR="008A4A03">
        <w:rPr>
          <w:rFonts w:ascii="Arial" w:hAnsi="Arial"/>
          <w:b/>
        </w:rPr>
        <w:t xml:space="preserve"> </w:t>
      </w:r>
      <w:r w:rsidR="008A4A03">
        <w:t>Создание инверсии нас</w:t>
      </w:r>
      <w:r w:rsidR="008A4A03">
        <w:t>е</w:t>
      </w:r>
      <w:r w:rsidR="008A4A03">
        <w:t>лённостей в активной среде, достаточной для лазерной генерации, тр</w:t>
      </w:r>
      <w:r w:rsidR="008A4A03">
        <w:t>е</w:t>
      </w:r>
      <w:r w:rsidR="008A4A03">
        <w:t>бует весьма интенсивного её облучения. Пороговые энергии облучения достигают десятков ватт на квадратный сантиметр. Такие энергии облучённости активного вещества более просто получать в импульсном р</w:t>
      </w:r>
      <w:r w:rsidR="008A4A03">
        <w:t>е</w:t>
      </w:r>
      <w:r w:rsidR="008A4A03">
        <w:t>жиме.</w:t>
      </w:r>
      <w:r w:rsidR="008A4A03">
        <w:rPr>
          <w:rFonts w:ascii="Arial" w:hAnsi="Arial"/>
          <w:b/>
        </w:rPr>
        <w:t xml:space="preserve"> </w:t>
      </w:r>
      <w:r w:rsidR="008A4A03">
        <w:t>Система оптической</w:t>
      </w:r>
      <w:r w:rsidR="008A4A03">
        <w:tab/>
        <w:t xml:space="preserve"> накачки, обеспечивающая создание лазе</w:t>
      </w:r>
      <w:r w:rsidR="008A4A03">
        <w:t>р</w:t>
      </w:r>
      <w:r w:rsidR="008A4A03">
        <w:t>ной генерации, содержит в общем случае лампу накачки и светооптич</w:t>
      </w:r>
      <w:r w:rsidR="008A4A03">
        <w:t>е</w:t>
      </w:r>
      <w:r w:rsidR="008A4A03">
        <w:t>ские элементы, концентрирующие лучистый поток, испускаемый ла</w:t>
      </w:r>
      <w:r w:rsidR="008A4A03">
        <w:t>м</w:t>
      </w:r>
      <w:r w:rsidR="008A4A03">
        <w:t>пой накачки, на активном элементе. Эффективность системы накачки можно определить как отношение поглощаемого в активном материале лучистого потока к мощности, потребляемой всеми лампами накачки. Н</w:t>
      </w:r>
      <w:r w:rsidR="008A4A03">
        <w:t>е</w:t>
      </w:r>
      <w:r w:rsidR="008A4A03">
        <w:t>сколько видов систем оптической накачки представлено на рисунке 20.5, где 1 – активная среда, 2 – лампа накачки, 3 – зеркальная повер</w:t>
      </w:r>
      <w:r w:rsidR="008A4A03">
        <w:t>х</w:t>
      </w:r>
      <w:r w:rsidR="008A4A03">
        <w:t>ность, 4 – оптический фильтр.</w:t>
      </w:r>
    </w:p>
    <w:p w:rsidR="00CD2C13" w:rsidRDefault="00B55838" w:rsidP="00872E7A"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457835</wp:posOffset>
            </wp:positionV>
            <wp:extent cx="1847850" cy="2247900"/>
            <wp:effectExtent l="1905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1BEA">
        <w:t>Поглощение энергии в образце может быть значительно увеличено при многократном прохождении его излучением накачки, что реализуе</w:t>
      </w:r>
      <w:r w:rsidR="00141BEA">
        <w:t>т</w:t>
      </w:r>
      <w:r w:rsidR="00141BEA">
        <w:t>ся в системах с плотным заполнением, в которых поперечные размеры отр</w:t>
      </w:r>
      <w:r w:rsidR="00141BEA">
        <w:t>а</w:t>
      </w:r>
      <w:r w:rsidR="00141BEA">
        <w:t>жателя малы (рисунке 20.6, где 1 – активная среда, 2 – отражатель, 3 – лампа накачки). Эффективность системы с плотным заполнением ок</w:t>
      </w:r>
      <w:r w:rsidR="00141BEA">
        <w:t>а</w:t>
      </w:r>
      <w:r w:rsidR="00141BEA">
        <w:t>зывается примерно такой же, как и в случае эллиптического рефлектора. Однако, она проще в изготовлении. Достоинство эллиптических отраж</w:t>
      </w:r>
      <w:r w:rsidR="00141BEA">
        <w:t>а</w:t>
      </w:r>
      <w:r w:rsidR="00141BEA">
        <w:t xml:space="preserve">телей заключается в возможности расположения активного образца на значительном расстоянии от лампы, что важно для мощных лазеров. </w:t>
      </w:r>
    </w:p>
    <w:p w:rsidR="00141BEA" w:rsidRDefault="00141BEA" w:rsidP="00872E7A">
      <w:pPr>
        <w:rPr>
          <w:b/>
        </w:rPr>
      </w:pPr>
      <w:r>
        <w:rPr>
          <w:b/>
        </w:rPr>
        <w:t>Рубиновый лазер.</w:t>
      </w:r>
    </w:p>
    <w:p w:rsidR="00141BEA" w:rsidRDefault="00141BEA" w:rsidP="00994B83">
      <w:r>
        <w:t>Первый лазер был создан на основе искусственного кристалла р</w:t>
      </w:r>
      <w:r>
        <w:t>у</w:t>
      </w:r>
      <w:r>
        <w:t>бина. Рубиновые лазеры, в настоящее время, являются одними из наиб</w:t>
      </w:r>
      <w:r>
        <w:t>о</w:t>
      </w:r>
      <w:r>
        <w:t xml:space="preserve">лее распространённых </w:t>
      </w:r>
      <w:r>
        <w:lastRenderedPageBreak/>
        <w:t xml:space="preserve">твердотельных оптических генераторов. Рубин отличается высокой химической стойкостью, механической прочностью и высокой теплопроводностью. Эти качества и </w:t>
      </w:r>
      <w:r w:rsidR="00B55838"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685800</wp:posOffset>
            </wp:positionV>
            <wp:extent cx="2732405" cy="3209925"/>
            <wp:effectExtent l="1905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405" cy="320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обусловили широкое и</w:t>
      </w:r>
      <w:r>
        <w:t>с</w:t>
      </w:r>
      <w:r>
        <w:t>пользование рубина в лазерных устройствах.</w:t>
      </w:r>
    </w:p>
    <w:p w:rsidR="00141BEA" w:rsidRDefault="00141BEA" w:rsidP="00994B83">
      <w:r>
        <w:t xml:space="preserve">Рубин – это кристаллический минерал, основу которого составляет решётка </w:t>
      </w:r>
      <w:r>
        <w:rPr>
          <w:lang w:val="en-US"/>
        </w:rPr>
        <w:t>Al</w:t>
      </w:r>
      <w:r>
        <w:rPr>
          <w:vertAlign w:val="subscript"/>
        </w:rPr>
        <w:t>2</w:t>
      </w:r>
      <w:r>
        <w:rPr>
          <w:lang w:val="en-US"/>
        </w:rPr>
        <w:t>O</w:t>
      </w:r>
      <w:r>
        <w:rPr>
          <w:vertAlign w:val="subscript"/>
        </w:rPr>
        <w:t>3</w:t>
      </w:r>
      <w:r>
        <w:t xml:space="preserve"> с внедрёнными в нее трёхзарядными ионами хрома </w:t>
      </w:r>
      <w:r>
        <w:rPr>
          <w:lang w:val="en-US"/>
        </w:rPr>
        <w:t>Cr</w:t>
      </w:r>
      <w:r>
        <w:rPr>
          <w:vertAlign w:val="superscript"/>
        </w:rPr>
        <w:t>3+</w:t>
      </w:r>
      <w:r>
        <w:t xml:space="preserve">, которые замещают часть ионов алюминия </w:t>
      </w:r>
      <w:r>
        <w:rPr>
          <w:lang w:val="en-US"/>
        </w:rPr>
        <w:t>Al</w:t>
      </w:r>
      <w:r>
        <w:rPr>
          <w:vertAlign w:val="superscript"/>
        </w:rPr>
        <w:t>3+</w:t>
      </w:r>
      <w:r>
        <w:t>. Содержание хрома, как правило, колеблется в пределах от 0,05 до 0,5 %. Чем больше хрома – тем более красный оттенок имеет рубин.</w:t>
      </w:r>
    </w:p>
    <w:p w:rsidR="006E7376" w:rsidRDefault="00141BEA" w:rsidP="00994B8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54.2pt;margin-top:79.75pt;width:27pt;height:27pt;z-index:-251661312" o:allowincell="f" stroked="f">
            <v:textbox style="mso-next-textbox:#_x0000_s1027">
              <w:txbxContent>
                <w:p w:rsidR="00141BEA" w:rsidRDefault="00141BEA" w:rsidP="00141BEA">
                  <w:r>
                    <w:t>3</w:t>
                  </w:r>
                </w:p>
              </w:txbxContent>
            </v:textbox>
          </v:shape>
        </w:pict>
      </w:r>
      <w:r w:rsidR="006E7376" w:rsidRPr="006E7376">
        <w:t xml:space="preserve"> </w:t>
      </w:r>
      <w:r w:rsidR="006E7376">
        <w:t>Схема таких энергетических уровней иона хрома приведена на рисунке 20.9, где энергия указана в см</w:t>
      </w:r>
      <w:r w:rsidR="006E7376">
        <w:rPr>
          <w:position w:val="-4"/>
        </w:rPr>
        <w:object w:dxaOrig="220" w:dyaOrig="300">
          <v:shape id="_x0000_i1026" type="#_x0000_t75" style="width:11.25pt;height:15pt" o:ole="" fillcolor="window">
            <v:imagedata r:id="rId10" o:title=""/>
          </v:shape>
          <o:OLEObject Type="Embed" ProgID="Equation.3" ShapeID="_x0000_i1026" DrawAspect="Content" ObjectID="_1322247174" r:id="rId11"/>
        </w:object>
      </w:r>
      <w:r w:rsidR="006E7376">
        <w:t>, 1см</w:t>
      </w:r>
      <w:r w:rsidR="006E7376">
        <w:rPr>
          <w:position w:val="-4"/>
        </w:rPr>
        <w:object w:dxaOrig="220" w:dyaOrig="300">
          <v:shape id="_x0000_i1027" type="#_x0000_t75" style="width:11.25pt;height:15pt" o:ole="" fillcolor="window">
            <v:imagedata r:id="rId12" o:title=""/>
          </v:shape>
          <o:OLEObject Type="Embed" ProgID="Equation.3" ShapeID="_x0000_i1027" DrawAspect="Content" ObjectID="_1322247175" r:id="rId13"/>
        </w:object>
      </w:r>
      <w:r w:rsidR="006E7376">
        <w:t xml:space="preserve"> =1.24 10</w:t>
      </w:r>
      <w:r w:rsidR="006E7376">
        <w:rPr>
          <w:position w:val="-4"/>
        </w:rPr>
        <w:object w:dxaOrig="220" w:dyaOrig="300">
          <v:shape id="_x0000_i1028" type="#_x0000_t75" style="width:11.25pt;height:15pt" o:ole="" fillcolor="window">
            <v:imagedata r:id="rId14" o:title=""/>
          </v:shape>
          <o:OLEObject Type="Embed" ProgID="Equation.3" ShapeID="_x0000_i1028" DrawAspect="Content" ObjectID="_1322247176" r:id="rId15"/>
        </w:object>
      </w:r>
      <w:r w:rsidR="006E7376">
        <w:t>эВ Это дост</w:t>
      </w:r>
      <w:r w:rsidR="006E7376">
        <w:t>а</w:t>
      </w:r>
      <w:r w:rsidR="006E7376">
        <w:t>точно сложная система энергетических уровней практически может быть приведена к классической трёхуровневой квантовой си</w:t>
      </w:r>
      <w:r w:rsidR="006E7376">
        <w:t>с</w:t>
      </w:r>
      <w:r w:rsidR="006E7376">
        <w:t>теме.</w:t>
      </w:r>
    </w:p>
    <w:p w:rsidR="006E7376" w:rsidRPr="00945D8F" w:rsidRDefault="00B55838" w:rsidP="00994B83">
      <w:pPr>
        <w:rPr>
          <w:rFonts w:ascii="MS Shell Dlg" w:hAnsi="MS Shell Dlg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-57785</wp:posOffset>
            </wp:positionH>
            <wp:positionV relativeFrom="paragraph">
              <wp:posOffset>617855</wp:posOffset>
            </wp:positionV>
            <wp:extent cx="3715385" cy="3401060"/>
            <wp:effectExtent l="1905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5385" cy="340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7376">
        <w:t>Длины волн для середины полос поглощения равны 0,56 мкм (560 нм) для нижнего уровня 3 и 0,41 мкм (410 нм) для верхнего уровня 3, а ширина каждой из них составляет около 0,1 мкм (100 нм). Поглощение в рубине зависит от направления распространения света относительно о</w:t>
      </w:r>
      <w:r w:rsidR="006E7376">
        <w:t>п</w:t>
      </w:r>
      <w:r w:rsidR="006E7376">
        <w:t>тической оси кристалла. Ионы хрома, поглощая энергию накачки в зел</w:t>
      </w:r>
      <w:r w:rsidR="006E7376">
        <w:t>ё</w:t>
      </w:r>
      <w:r w:rsidR="006E7376">
        <w:t>ной (</w:t>
      </w:r>
      <w:r w:rsidR="006E7376">
        <w:rPr>
          <w:rFonts w:ascii="Symbol" w:hAnsi="Symbol"/>
          <w:i/>
          <w:lang w:val="en-US"/>
        </w:rPr>
        <w:t></w:t>
      </w:r>
      <w:r w:rsidR="006E7376">
        <w:t xml:space="preserve"> ~ 0,56 мкм) и синей ( </w:t>
      </w:r>
      <w:r w:rsidR="006E7376">
        <w:rPr>
          <w:rFonts w:ascii="Symbol" w:hAnsi="Symbol"/>
          <w:i/>
          <w:lang w:val="en-US"/>
        </w:rPr>
        <w:t></w:t>
      </w:r>
      <w:r w:rsidR="006E7376">
        <w:t xml:space="preserve"> ~ 0,41 мкм) полосах оптического спектра, переходят в возбуждённое состояние. Спектр поглощения рубина пре</w:t>
      </w:r>
      <w:r w:rsidR="006E7376">
        <w:t>д</w:t>
      </w:r>
      <w:r w:rsidR="006E7376">
        <w:t>ставлен на рисунке 20.10 , где две кривые соответствуют двум ориент</w:t>
      </w:r>
      <w:r w:rsidR="006E7376">
        <w:t>а</w:t>
      </w:r>
      <w:r w:rsidR="006E7376">
        <w:t>циям падающего излучения относительно оптической оси кристалла (</w:t>
      </w:r>
      <w:r w:rsidR="006E7376" w:rsidRPr="00945D8F">
        <w:t>║</w:t>
      </w:r>
      <w:r w:rsidR="006E7376">
        <w:t xml:space="preserve"> - падающий свет параллелен оси </w:t>
      </w:r>
      <w:r w:rsidR="006E7376">
        <w:lastRenderedPageBreak/>
        <w:t xml:space="preserve">кристалла, </w:t>
      </w:r>
      <w:r w:rsidR="006E7376" w:rsidRPr="00945D8F">
        <w:rPr>
          <w:rFonts w:ascii="Times New Roman CYR" w:hAnsi="Times New Roman CYR"/>
        </w:rPr>
        <w:t>┴</w:t>
      </w:r>
      <w:r w:rsidR="006E7376">
        <w:rPr>
          <w:rFonts w:ascii="Times New Roman CYR" w:hAnsi="Times New Roman CYR"/>
        </w:rPr>
        <w:t xml:space="preserve"> - падающий свет перпенд</w:t>
      </w:r>
      <w:r w:rsidR="006E7376">
        <w:rPr>
          <w:rFonts w:ascii="Times New Roman CYR" w:hAnsi="Times New Roman CYR"/>
        </w:rPr>
        <w:t>и</w:t>
      </w:r>
      <w:r w:rsidR="006E7376">
        <w:rPr>
          <w:rFonts w:ascii="Times New Roman CYR" w:hAnsi="Times New Roman CYR"/>
        </w:rPr>
        <w:t>кулярен оси кристалла)</w:t>
      </w:r>
      <w:r w:rsidR="006E7376">
        <w:t xml:space="preserve">. Время жизни ионов хрома </w:t>
      </w:r>
      <w:r w:rsidR="006E7376">
        <w:rPr>
          <w:lang w:val="en-US"/>
        </w:rPr>
        <w:t>Cr</w:t>
      </w:r>
      <w:r w:rsidR="006E7376">
        <w:rPr>
          <w:vertAlign w:val="superscript"/>
        </w:rPr>
        <w:t>3+</w:t>
      </w:r>
      <w:r w:rsidR="006E7376">
        <w:t xml:space="preserve"> в состояниях 3 составляет 5·10</w:t>
      </w:r>
      <w:r w:rsidR="006E7376">
        <w:rPr>
          <w:vertAlign w:val="superscript"/>
        </w:rPr>
        <w:t xml:space="preserve">-8  </w:t>
      </w:r>
      <w:r w:rsidR="006E7376">
        <w:t>с. Основная часть возбуждённых на уровне 3 ионов хрома (~75%) за счёт безызлучательного распада, переходит на метаст</w:t>
      </w:r>
      <w:r w:rsidR="006E7376">
        <w:t>а</w:t>
      </w:r>
      <w:r w:rsidR="006E7376">
        <w:t>бильный уровень 2. Остальные 25% возбуждённых ионов переходит в исходное состояние 1. Уровень 2 состоит из двух близко расположенных подуровней, разность энергий между которыми приблизительно составляет 3,6·10</w:t>
      </w:r>
      <w:r w:rsidR="006E7376">
        <w:rPr>
          <w:vertAlign w:val="superscript"/>
        </w:rPr>
        <w:t>-3</w:t>
      </w:r>
      <w:r w:rsidR="006E7376">
        <w:t xml:space="preserve"> эВ (29 см</w:t>
      </w:r>
      <w:r w:rsidR="006E7376">
        <w:rPr>
          <w:vertAlign w:val="superscript"/>
        </w:rPr>
        <w:t>-1</w:t>
      </w:r>
      <w:r w:rsidR="006E7376">
        <w:t>). Оба подуровня находятся в тепловом равновесии, и в соответствии с распределением Больцмана населённость нижн</w:t>
      </w:r>
      <w:r w:rsidR="006E7376">
        <w:t>е</w:t>
      </w:r>
      <w:r w:rsidR="006E7376">
        <w:t>го подуровня больше верхнего подуровня. Перераспределение частиц между подуровнями и восстановление равновесного состояния происх</w:t>
      </w:r>
      <w:r w:rsidR="006E7376">
        <w:t>о</w:t>
      </w:r>
      <w:r w:rsidR="006E7376">
        <w:t>дит с постоянной времени ~ 10</w:t>
      </w:r>
      <w:r w:rsidR="006E7376">
        <w:rPr>
          <w:vertAlign w:val="superscript"/>
        </w:rPr>
        <w:t>-7</w:t>
      </w:r>
      <w:r w:rsidR="006E7376">
        <w:t xml:space="preserve"> с. Верхний подуровень подпитывает нижний, непрерывно восполняя уход возбуждённых частиц из нижнего состояния.</w:t>
      </w:r>
      <w:r w:rsidR="006E7376">
        <w:rPr>
          <w:rFonts w:ascii="MS Shell Dlg" w:hAnsi="MS Shell Dlg"/>
        </w:rPr>
        <w:t xml:space="preserve"> </w:t>
      </w:r>
      <w:r w:rsidR="006E7376">
        <w:t>Накопление возбуждённых частиц на уровне 2 и, следовательно, получение инверсии населённостей возможно благодаря бол</w:t>
      </w:r>
      <w:r w:rsidR="006E7376">
        <w:t>ь</w:t>
      </w:r>
      <w:r w:rsidR="006E7376">
        <w:t>шому (3·10</w:t>
      </w:r>
      <w:r w:rsidR="006E7376">
        <w:rPr>
          <w:vertAlign w:val="superscript"/>
        </w:rPr>
        <w:t>-3</w:t>
      </w:r>
      <w:r w:rsidR="006E7376">
        <w:t xml:space="preserve"> с.) времени жизни частиц на этом уровне. Процесс нако</w:t>
      </w:r>
      <w:r w:rsidR="006E7376">
        <w:t>п</w:t>
      </w:r>
      <w:r w:rsidR="006E7376">
        <w:t>ления активных частиц будет продолжаться до тех пор, пока населённость второго уро</w:t>
      </w:r>
      <w:r w:rsidR="006E7376">
        <w:t>в</w:t>
      </w:r>
      <w:r w:rsidR="006E7376">
        <w:t xml:space="preserve">ня не превысит пороговую. Генерация возникает при выполнении условия  </w:t>
      </w:r>
      <w:r w:rsidR="006E7376">
        <w:rPr>
          <w:i/>
          <w:lang w:val="en-US"/>
        </w:rPr>
        <w:t>N</w:t>
      </w:r>
      <w:r w:rsidR="006E7376">
        <w:rPr>
          <w:i/>
          <w:vertAlign w:val="subscript"/>
        </w:rPr>
        <w:t>2</w:t>
      </w:r>
      <w:r w:rsidR="006E7376">
        <w:rPr>
          <w:i/>
        </w:rPr>
        <w:t xml:space="preserve"> – (</w:t>
      </w:r>
      <w:r w:rsidR="006E7376">
        <w:rPr>
          <w:i/>
          <w:lang w:val="en-US"/>
        </w:rPr>
        <w:t>g</w:t>
      </w:r>
      <w:r w:rsidR="006E7376">
        <w:rPr>
          <w:i/>
          <w:vertAlign w:val="subscript"/>
        </w:rPr>
        <w:t>2</w:t>
      </w:r>
      <w:r w:rsidR="006E7376">
        <w:rPr>
          <w:i/>
        </w:rPr>
        <w:t>/</w:t>
      </w:r>
      <w:r w:rsidR="006E7376">
        <w:rPr>
          <w:i/>
          <w:lang w:val="en-US"/>
        </w:rPr>
        <w:t>g</w:t>
      </w:r>
      <w:r w:rsidR="006E7376">
        <w:rPr>
          <w:i/>
          <w:vertAlign w:val="subscript"/>
        </w:rPr>
        <w:t>1</w:t>
      </w:r>
      <w:r w:rsidR="006E7376">
        <w:rPr>
          <w:i/>
        </w:rPr>
        <w:t>)·</w:t>
      </w:r>
      <w:r w:rsidR="006E7376">
        <w:rPr>
          <w:i/>
          <w:lang w:val="en-US"/>
        </w:rPr>
        <w:t>N</w:t>
      </w:r>
      <w:r w:rsidR="006E7376">
        <w:rPr>
          <w:i/>
          <w:vertAlign w:val="subscript"/>
        </w:rPr>
        <w:t>1</w:t>
      </w:r>
      <w:r w:rsidR="006E7376">
        <w:t xml:space="preserve"> ≥ 0. Расчёты показывают, что в режиме генерации к</w:t>
      </w:r>
      <w:r w:rsidR="006E7376">
        <w:t>о</w:t>
      </w:r>
      <w:r w:rsidR="006E7376">
        <w:t>лебаний в лазере на рубине на втором уровне должно находиться не менее трети от общего числа всех активных частиц. В р</w:t>
      </w:r>
      <w:r w:rsidR="006E7376">
        <w:t>у</w:t>
      </w:r>
      <w:r w:rsidR="006E7376">
        <w:t>биновом лазере из-за наличия двух подуровней 2 генерация осуществл</w:t>
      </w:r>
      <w:r w:rsidR="006E7376">
        <w:t>я</w:t>
      </w:r>
      <w:r w:rsidR="006E7376">
        <w:t>ется на двух линиях, которые обозначаются</w:t>
      </w:r>
      <w:r w:rsidR="006E7376">
        <w:rPr>
          <w:i/>
        </w:rPr>
        <w:t xml:space="preserve"> </w:t>
      </w:r>
      <w:r w:rsidR="006E7376">
        <w:rPr>
          <w:i/>
          <w:lang w:val="en-US"/>
        </w:rPr>
        <w:t>R</w:t>
      </w:r>
      <w:r w:rsidR="006E7376">
        <w:rPr>
          <w:i/>
          <w:vertAlign w:val="subscript"/>
        </w:rPr>
        <w:t>1</w:t>
      </w:r>
      <w:r w:rsidR="006E7376">
        <w:t xml:space="preserve"> и </w:t>
      </w:r>
      <w:r w:rsidR="006E7376">
        <w:rPr>
          <w:i/>
          <w:lang w:val="en-US"/>
        </w:rPr>
        <w:t>R</w:t>
      </w:r>
      <w:r w:rsidR="006E7376">
        <w:rPr>
          <w:i/>
          <w:vertAlign w:val="subscript"/>
        </w:rPr>
        <w:t>2</w:t>
      </w:r>
      <w:r w:rsidR="006E7376">
        <w:t xml:space="preserve"> (рисунок 20.9). Дл</w:t>
      </w:r>
      <w:r w:rsidR="006E7376">
        <w:t>и</w:t>
      </w:r>
      <w:r w:rsidR="006E7376">
        <w:t>на волны этих линий зависит от температуры кристалла, так как. температура и</w:t>
      </w:r>
      <w:r w:rsidR="006E7376">
        <w:t>з</w:t>
      </w:r>
      <w:r w:rsidR="006E7376">
        <w:t>меняет характер внутри решетчатого расщепления основного состояния. Зависимость длины волны генерации от температуры кр</w:t>
      </w:r>
      <w:r w:rsidR="006E7376">
        <w:t>и</w:t>
      </w:r>
      <w:r w:rsidR="006E7376">
        <w:t>сталла является специфической особенностью твердотельных лазеров. Длина волны г</w:t>
      </w:r>
      <w:r w:rsidR="006E7376">
        <w:t>е</w:t>
      </w:r>
      <w:r w:rsidR="006E7376">
        <w:t xml:space="preserve">нерации на рубине при комнатной температуре на линии </w:t>
      </w:r>
      <w:r w:rsidR="006E7376">
        <w:rPr>
          <w:i/>
          <w:lang w:val="en-US"/>
        </w:rPr>
        <w:t>R</w:t>
      </w:r>
      <w:r w:rsidR="006E7376">
        <w:rPr>
          <w:i/>
          <w:vertAlign w:val="subscript"/>
        </w:rPr>
        <w:t>1</w:t>
      </w:r>
      <w:r w:rsidR="006E7376">
        <w:t xml:space="preserve"> = 694,3 н, а на линии </w:t>
      </w:r>
      <w:r w:rsidR="006E7376">
        <w:rPr>
          <w:i/>
          <w:lang w:val="en-US"/>
        </w:rPr>
        <w:t>R</w:t>
      </w:r>
      <w:r w:rsidR="006E7376">
        <w:rPr>
          <w:i/>
          <w:vertAlign w:val="subscript"/>
        </w:rPr>
        <w:t>2</w:t>
      </w:r>
      <w:r w:rsidR="006E7376">
        <w:t xml:space="preserve"> = 692,9 нм. Показатель поглощения</w:t>
      </w:r>
      <w:r w:rsidR="006E7376">
        <w:rPr>
          <w:i/>
        </w:rPr>
        <w:t xml:space="preserve"> </w:t>
      </w:r>
      <w:r w:rsidR="006E7376">
        <w:rPr>
          <w:rFonts w:ascii="Symbol" w:hAnsi="Symbol"/>
          <w:i/>
          <w:lang w:val="en-US"/>
        </w:rPr>
        <w:t></w:t>
      </w:r>
      <w:r w:rsidR="006E7376">
        <w:t xml:space="preserve"> в пол</w:t>
      </w:r>
      <w:r w:rsidR="006E7376">
        <w:t>о</w:t>
      </w:r>
      <w:r w:rsidR="006E7376">
        <w:t>сах уровней 3 составляет 2…4 см</w:t>
      </w:r>
      <w:r w:rsidR="006E7376">
        <w:rPr>
          <w:vertAlign w:val="superscript"/>
        </w:rPr>
        <w:t>-1</w:t>
      </w:r>
      <w:r w:rsidR="006E7376">
        <w:t xml:space="preserve"> при оптимальном содержании хрома </w:t>
      </w:r>
      <w:r w:rsidR="006E7376">
        <w:rPr>
          <w:lang w:val="en-US"/>
        </w:rPr>
        <w:t>Cr</w:t>
      </w:r>
      <w:r w:rsidR="006E7376">
        <w:rPr>
          <w:position w:val="-4"/>
          <w:lang w:val="en-US"/>
        </w:rPr>
        <w:object w:dxaOrig="139" w:dyaOrig="300">
          <v:shape id="_x0000_i1029" type="#_x0000_t75" style="width:6.75pt;height:15pt" o:ole="" fillcolor="window">
            <v:imagedata r:id="rId17" o:title=""/>
          </v:shape>
          <o:OLEObject Type="Embed" ProgID="Equation.3" ShapeID="_x0000_i1029" DrawAspect="Content" ObjectID="_1322247177" r:id="rId18"/>
        </w:object>
      </w:r>
      <w:r w:rsidR="006E7376">
        <w:rPr>
          <w:vertAlign w:val="superscript"/>
        </w:rPr>
        <w:t>+</w:t>
      </w:r>
      <w:r w:rsidR="006E7376">
        <w:t>. Поэтому диаметр активного рубинового элемента не должен превышать 2 см. Обычно применяют искусственные стержни диаметром около 10 см, оптическая ось которых составляет угол 90° или 60° с осью стержня. Л</w:t>
      </w:r>
      <w:r w:rsidR="006E7376">
        <w:t>а</w:t>
      </w:r>
      <w:r w:rsidR="006E7376">
        <w:t>зерное излучение в этих случаях линейно поляризовано с вектором электрического поля, расположенным перпендикулярно пло</w:t>
      </w:r>
      <w:r w:rsidR="006E7376">
        <w:t>с</w:t>
      </w:r>
      <w:r w:rsidR="006E7376">
        <w:t>кости, проходящей через оптическую ось и ось стержня. Пороговое значение объёмной плотности энергии накачки в рубиновом лазере на п</w:t>
      </w:r>
      <w:r w:rsidR="006E7376">
        <w:t>о</w:t>
      </w:r>
      <w:r w:rsidR="006E7376">
        <w:t xml:space="preserve">лосе с </w:t>
      </w:r>
      <w:r w:rsidR="006E7376">
        <w:rPr>
          <w:rFonts w:ascii="Symbol" w:hAnsi="Symbol"/>
          <w:i/>
          <w:lang w:val="en-US"/>
        </w:rPr>
        <w:t></w:t>
      </w:r>
      <w:r w:rsidR="006E7376">
        <w:t xml:space="preserve"> ~ 0,56 мкм составляет величину ~3 Дж/ см</w:t>
      </w:r>
      <w:r w:rsidR="006E7376">
        <w:rPr>
          <w:vertAlign w:val="superscript"/>
        </w:rPr>
        <w:t xml:space="preserve">2 </w:t>
      </w:r>
      <w:r w:rsidR="006E7376">
        <w:t>. Удельный съём энергии в режиме свободной генерации составляет 0,2…0,25 Дж/ см, КПД ~ (1 – 2)%. Ни</w:t>
      </w:r>
      <w:r w:rsidR="006E7376">
        <w:t>з</w:t>
      </w:r>
      <w:r w:rsidR="006E7376">
        <w:t>кий КПД рубинового лазера обусловлен его работой по трёхуровневой схеме.</w:t>
      </w:r>
    </w:p>
    <w:p w:rsidR="007557BD" w:rsidRPr="001703EB" w:rsidRDefault="007557BD" w:rsidP="00994B83">
      <w:pPr>
        <w:rPr>
          <w:b/>
        </w:rPr>
      </w:pPr>
      <w:r>
        <w:rPr>
          <w:b/>
        </w:rPr>
        <w:t>Лазеры на средах, активированных неодимом.</w:t>
      </w:r>
    </w:p>
    <w:p w:rsidR="007557BD" w:rsidRPr="001703EB" w:rsidRDefault="007557BD" w:rsidP="00994B83">
      <w:pPr>
        <w:rPr>
          <w:b/>
        </w:rPr>
      </w:pPr>
    </w:p>
    <w:p w:rsidR="007557BD" w:rsidRDefault="007557BD" w:rsidP="00994B83">
      <w:r>
        <w:lastRenderedPageBreak/>
        <w:t>В активированных средах с примесью редкоземельных элементов в качестве генерирующих центров реализуется работа по четырехуро</w:t>
      </w:r>
      <w:r>
        <w:t>в</w:t>
      </w:r>
      <w:r>
        <w:t>невой схеме, а не по трехуровневой, как в лазере на рубине. Строение энергетических уровней редкоземельных элементов в отличие в лазере на рубине. Структура энергетических уровней редкоземельных элеме</w:t>
      </w:r>
      <w:r>
        <w:t>н</w:t>
      </w:r>
      <w:r>
        <w:t>тогв в отличие от иона хрома позволяет реализовать работу квантового генератора по четырехуровневой схеме, что улучшает КПД и некоторые другие параметры твердотельных лаз</w:t>
      </w:r>
      <w:r>
        <w:t>е</w:t>
      </w:r>
      <w:r>
        <w:t>ров.</w:t>
      </w:r>
    </w:p>
    <w:p w:rsidR="007557BD" w:rsidRDefault="007557BD" w:rsidP="00994B83">
      <w:r>
        <w:t xml:space="preserve">Материалы на основе иттрийалюминиевого граната </w:t>
      </w:r>
      <w:r>
        <w:rPr>
          <w:lang w:val="en-US"/>
        </w:rPr>
        <w:t>Y</w:t>
      </w:r>
      <w:r>
        <w:rPr>
          <w:vertAlign w:val="subscript"/>
        </w:rPr>
        <w:t>3</w:t>
      </w:r>
      <w:r>
        <w:rPr>
          <w:lang w:val="en-US"/>
        </w:rPr>
        <w:t>Al</w:t>
      </w:r>
      <w:r>
        <w:rPr>
          <w:vertAlign w:val="subscript"/>
        </w:rPr>
        <w:t>5</w:t>
      </w:r>
      <w:r>
        <w:t>О</w:t>
      </w:r>
      <w:r>
        <w:rPr>
          <w:vertAlign w:val="subscript"/>
        </w:rPr>
        <w:t>12</w:t>
      </w:r>
      <w:r>
        <w:t xml:space="preserve">, вольфрамата кальция </w:t>
      </w:r>
      <w:r>
        <w:rPr>
          <w:lang w:val="en-US"/>
        </w:rPr>
        <w:t>CaWO</w:t>
      </w:r>
      <w:r>
        <w:rPr>
          <w:vertAlign w:val="subscript"/>
        </w:rPr>
        <w:t>4</w:t>
      </w:r>
      <w:r>
        <w:t xml:space="preserve"> и стекол с примесями иона неодима </w:t>
      </w:r>
      <w:r>
        <w:rPr>
          <w:lang w:val="en-US"/>
        </w:rPr>
        <w:t>Nd</w:t>
      </w:r>
      <w:r>
        <w:rPr>
          <w:vertAlign w:val="superscript"/>
        </w:rPr>
        <w:t>3+</w:t>
      </w:r>
      <w:r>
        <w:t xml:space="preserve">, а также фториевого кальция </w:t>
      </w:r>
      <w:r>
        <w:rPr>
          <w:lang w:val="en-US"/>
        </w:rPr>
        <w:t>CaF</w:t>
      </w:r>
      <w:r>
        <w:rPr>
          <w:vertAlign w:val="subscript"/>
        </w:rPr>
        <w:t xml:space="preserve">2 </w:t>
      </w:r>
      <w:r>
        <w:t xml:space="preserve">с двухвалентным ионом диспрозия </w:t>
      </w:r>
      <w:r>
        <w:rPr>
          <w:lang w:val="en-US"/>
        </w:rPr>
        <w:t>D</w:t>
      </w:r>
      <w:r>
        <w:rPr>
          <w:vertAlign w:val="subscript"/>
          <w:lang w:val="en-US"/>
        </w:rPr>
        <w:t>Y</w:t>
      </w:r>
      <w:r>
        <w:rPr>
          <w:vertAlign w:val="superscript"/>
        </w:rPr>
        <w:t>2+</w:t>
      </w:r>
      <w:r>
        <w:t xml:space="preserve"> или трехвалентного иона урана </w:t>
      </w:r>
      <w:r>
        <w:rPr>
          <w:lang w:val="en-US"/>
        </w:rPr>
        <w:t>U</w:t>
      </w:r>
      <w:r>
        <w:rPr>
          <w:vertAlign w:val="superscript"/>
        </w:rPr>
        <w:t>3+</w:t>
      </w:r>
      <w:r>
        <w:t xml:space="preserve"> требуют сравнительно малой эне</w:t>
      </w:r>
      <w:r>
        <w:t>р</w:t>
      </w:r>
      <w:r>
        <w:t>гии возбуждения, поскольку работают по 4-х уровневой схеме.</w:t>
      </w:r>
    </w:p>
    <w:p w:rsidR="007557BD" w:rsidRDefault="007557BD" w:rsidP="00994B83">
      <w:r>
        <w:t xml:space="preserve">Диаграмма энергетических уровней </w:t>
      </w:r>
      <w:r>
        <w:rPr>
          <w:lang w:val="en-US"/>
        </w:rPr>
        <w:t>Nd</w:t>
      </w:r>
      <w:r>
        <w:rPr>
          <w:vertAlign w:val="superscript"/>
        </w:rPr>
        <w:t>3+</w:t>
      </w:r>
      <w:r>
        <w:t xml:space="preserve"> в решетке </w:t>
      </w:r>
      <w:r>
        <w:rPr>
          <w:lang w:val="en-US"/>
        </w:rPr>
        <w:t>CaWO</w:t>
      </w:r>
      <w:r>
        <w:rPr>
          <w:vertAlign w:val="subscript"/>
        </w:rPr>
        <w:t>4</w:t>
      </w:r>
      <w:r>
        <w:t xml:space="preserve"> прив</w:t>
      </w:r>
      <w:r>
        <w:t>е</w:t>
      </w:r>
      <w:r>
        <w:t>дена на рисунке 20.11, где показаны сравнительно узкие полосы погл</w:t>
      </w:r>
      <w:r>
        <w:t>о</w:t>
      </w:r>
      <w:r>
        <w:t>щения в видимой (</w:t>
      </w:r>
      <w:r>
        <w:rPr>
          <w:i/>
        </w:rPr>
        <w:t>λ</w:t>
      </w:r>
      <w:r>
        <w:t xml:space="preserve"> ~ 0,58 мкм) и ближней инфракрасной (λ ~ 0,74; </w:t>
      </w:r>
      <w:r w:rsidR="00B55838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911225</wp:posOffset>
            </wp:positionV>
            <wp:extent cx="1479550" cy="2088515"/>
            <wp:effectExtent l="19050" t="0" r="635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0" cy="2088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0,81; 0,88 мкм) областях спектра. Эти полосы поглощения выполняют роль третьего уровня (см. рис. 17.2, б). Наиболее интенсивная полоса поглощения с максимумом </w:t>
      </w:r>
      <w:r>
        <w:rPr>
          <w:i/>
        </w:rPr>
        <w:t>λ</w:t>
      </w:r>
      <w:r>
        <w:t xml:space="preserve"> = 0,58 мкм имеет ширину около 0,002 мкм. П</w:t>
      </w:r>
      <w:r>
        <w:t>о</w:t>
      </w:r>
      <w:r>
        <w:t xml:space="preserve">лосы с </w:t>
      </w:r>
      <w:r>
        <w:rPr>
          <w:i/>
        </w:rPr>
        <w:t>λ</w:t>
      </w:r>
      <w:r>
        <w:t xml:space="preserve"> ~ 0,81 мкм и 0,88 мкм очень удобны для накачки полупрово</w:t>
      </w:r>
      <w:r>
        <w:t>д</w:t>
      </w:r>
      <w:r>
        <w:t>никовыми лазерами и светодиодами на основе арсенида галлия. Возбу</w:t>
      </w:r>
      <w:r>
        <w:t>ж</w:t>
      </w:r>
      <w:r>
        <w:t>денные за счет энергии источника накачки ионы неодима на уровне 3 быстро переходят на метастабильный уровень 2, время жизни которого велико (</w:t>
      </w:r>
      <w:r>
        <w:rPr>
          <w:i/>
        </w:rPr>
        <w:t>τ</w:t>
      </w:r>
      <w:r>
        <w:rPr>
          <w:i/>
          <w:vertAlign w:val="subscript"/>
        </w:rPr>
        <w:t>24</w:t>
      </w:r>
      <w:r>
        <w:t xml:space="preserve"> = 0,23 мс), и накапливаются на нем, создавая инверсию населе</w:t>
      </w:r>
      <w:r>
        <w:t>н</w:t>
      </w:r>
      <w:r>
        <w:t>ностей относительно уровня 4.</w:t>
      </w:r>
    </w:p>
    <w:p w:rsidR="006E7376" w:rsidRDefault="007557BD" w:rsidP="00994B83">
      <w:r>
        <w:t xml:space="preserve">Рабочие лазерные переходы с уровня 2 возможны в состояние </w:t>
      </w:r>
      <w:r>
        <w:rPr>
          <w:i/>
          <w:vertAlign w:val="superscript"/>
        </w:rPr>
        <w:t>4</w:t>
      </w:r>
      <w:r>
        <w:rPr>
          <w:i/>
          <w:lang w:val="en-US"/>
        </w:rPr>
        <w:t>I</w:t>
      </w:r>
      <w:r>
        <w:rPr>
          <w:i/>
          <w:vertAlign w:val="subscript"/>
        </w:rPr>
        <w:t>15/2</w:t>
      </w:r>
      <w:r>
        <w:rPr>
          <w:i/>
        </w:rPr>
        <w:t xml:space="preserve">, </w:t>
      </w:r>
      <w:r>
        <w:rPr>
          <w:i/>
          <w:vertAlign w:val="superscript"/>
        </w:rPr>
        <w:t>4</w:t>
      </w:r>
      <w:r>
        <w:rPr>
          <w:i/>
          <w:lang w:val="en-US"/>
        </w:rPr>
        <w:t>I</w:t>
      </w:r>
      <w:r>
        <w:rPr>
          <w:i/>
          <w:vertAlign w:val="subscript"/>
        </w:rPr>
        <w:t>13/2</w:t>
      </w:r>
      <w:r>
        <w:rPr>
          <w:i/>
        </w:rPr>
        <w:t xml:space="preserve">, </w:t>
      </w:r>
      <w:r>
        <w:rPr>
          <w:i/>
          <w:vertAlign w:val="superscript"/>
        </w:rPr>
        <w:t>4</w:t>
      </w:r>
      <w:r>
        <w:rPr>
          <w:i/>
          <w:lang w:val="en-US"/>
        </w:rPr>
        <w:t>I</w:t>
      </w:r>
      <w:r>
        <w:rPr>
          <w:i/>
          <w:vertAlign w:val="subscript"/>
        </w:rPr>
        <w:t>11/2</w:t>
      </w:r>
      <w:r>
        <w:rPr>
          <w:i/>
        </w:rPr>
        <w:t xml:space="preserve">, </w:t>
      </w:r>
      <w:r>
        <w:rPr>
          <w:i/>
          <w:vertAlign w:val="superscript"/>
        </w:rPr>
        <w:t>4</w:t>
      </w:r>
      <w:r>
        <w:rPr>
          <w:i/>
          <w:lang w:val="en-US"/>
        </w:rPr>
        <w:t>I</w:t>
      </w:r>
      <w:r>
        <w:rPr>
          <w:i/>
          <w:vertAlign w:val="subscript"/>
        </w:rPr>
        <w:t>9/2</w:t>
      </w:r>
      <w:r>
        <w:rPr>
          <w:i/>
        </w:rPr>
        <w:t>,</w:t>
      </w:r>
      <w:r>
        <w:t xml:space="preserve"> но наиболее сильным является переход </w:t>
      </w:r>
      <w:r>
        <w:rPr>
          <w:i/>
          <w:vertAlign w:val="superscript"/>
        </w:rPr>
        <w:t>4</w:t>
      </w:r>
      <w:r>
        <w:rPr>
          <w:i/>
        </w:rPr>
        <w:t>F</w:t>
      </w:r>
      <w:r>
        <w:rPr>
          <w:i/>
          <w:vertAlign w:val="subscript"/>
        </w:rPr>
        <w:t>3/2</w:t>
      </w:r>
      <w:r>
        <w:rPr>
          <w:i/>
        </w:rPr>
        <w:t xml:space="preserve"> - </w:t>
      </w:r>
      <w:r>
        <w:rPr>
          <w:i/>
          <w:vertAlign w:val="superscript"/>
        </w:rPr>
        <w:t xml:space="preserve"> 4</w:t>
      </w:r>
      <w:r>
        <w:rPr>
          <w:i/>
        </w:rPr>
        <w:t>I</w:t>
      </w:r>
      <w:r>
        <w:rPr>
          <w:i/>
          <w:vertAlign w:val="subscript"/>
        </w:rPr>
        <w:t>11/2</w:t>
      </w:r>
      <w:r>
        <w:t xml:space="preserve"> (уровень 4) с </w:t>
      </w:r>
      <w:r>
        <w:rPr>
          <w:i/>
        </w:rPr>
        <w:t>λ</w:t>
      </w:r>
      <w:r>
        <w:t xml:space="preserve"> = 1,06 мкм. Уровень 4, являющийся нижним рабочим л</w:t>
      </w:r>
      <w:r>
        <w:t>а</w:t>
      </w:r>
      <w:r>
        <w:t>зерным уровнем, расположен примерно на 0,25 эВ выше основного состояния 1. С уровня 4 ионы быстро безызлучательно переходят в с</w:t>
      </w:r>
      <w:r>
        <w:t>о</w:t>
      </w:r>
      <w:r>
        <w:t>стояние 1, что обеспечивает эффективное опустошение нижнего рабоч</w:t>
      </w:r>
      <w:r>
        <w:t>е</w:t>
      </w:r>
      <w:r>
        <w:t>го уровня и повышает инверсию населенностей на уровне 2 по отнош</w:t>
      </w:r>
      <w:r>
        <w:t>е</w:t>
      </w:r>
      <w:r>
        <w:t>нию к уровню 4.</w:t>
      </w:r>
    </w:p>
    <w:p w:rsidR="007557BD" w:rsidRDefault="007557BD" w:rsidP="00994B83">
      <w:r>
        <w:t xml:space="preserve">Помимо кристаллических матриц широко используются активные среды на основе стекол с примесью редкоземельных элементов, чаще всего </w:t>
      </w:r>
      <w:r>
        <w:rPr>
          <w:lang w:val="en-US"/>
        </w:rPr>
        <w:t>Nd</w:t>
      </w:r>
      <w:r>
        <w:rPr>
          <w:vertAlign w:val="superscript"/>
        </w:rPr>
        <w:t>3+</w:t>
      </w:r>
      <w:r>
        <w:t>. Стекла являются аморфными средами и по сравнению с ра</w:t>
      </w:r>
      <w:r>
        <w:t>с</w:t>
      </w:r>
      <w:r>
        <w:t>смотренными ранее обладают более высокой оптической однородн</w:t>
      </w:r>
      <w:r>
        <w:t>о</w:t>
      </w:r>
      <w:r>
        <w:t>стью, технологичностью, возможностью изготовления активных элементов больших размеров и возможностью введения примеси в необход</w:t>
      </w:r>
      <w:r>
        <w:t>и</w:t>
      </w:r>
      <w:r>
        <w:t xml:space="preserve">мых, для </w:t>
      </w:r>
      <w:r>
        <w:lastRenderedPageBreak/>
        <w:t>получения большой мощности, концентрациях с равномерным распределением по объему. К наиболее заметным недостаткам стекол как активных элементов относятся: низкая теплопроводность, высокий температурный коэффициент, ограниченная область оптической прозрачности (0,33…2,5 мкм), которая при введения примеси еще более с</w:t>
      </w:r>
      <w:r>
        <w:t>у</w:t>
      </w:r>
      <w:r>
        <w:t>жается.</w:t>
      </w:r>
    </w:p>
    <w:p w:rsidR="00872E7A" w:rsidRDefault="00872E7A" w:rsidP="00994B83">
      <w:r>
        <w:t>Длина активных элементов на стеклах может достигать 1 м с попере</w:t>
      </w:r>
      <w:r>
        <w:t>ч</w:t>
      </w:r>
      <w:r>
        <w:t>ным сечением более 500 см</w:t>
      </w:r>
      <w:r>
        <w:rPr>
          <w:vertAlign w:val="superscript"/>
        </w:rPr>
        <w:t>2</w:t>
      </w:r>
      <w:r>
        <w:t xml:space="preserve"> (диаметр около 25 см.). С помощью таких элементов при большой концентрации активной примеси можно пол</w:t>
      </w:r>
      <w:r>
        <w:t>у</w:t>
      </w:r>
      <w:r>
        <w:t>чать большую энергию импульсов (до нескольких тысяч джоулей). О</w:t>
      </w:r>
      <w:r>
        <w:t>д</w:t>
      </w:r>
      <w:r>
        <w:t>нако величина снимаемой мощности с активных стеклянных сред ограничена низкой теплопроводностью стекол. С помощью стекол генер</w:t>
      </w:r>
      <w:r>
        <w:t>и</w:t>
      </w:r>
      <w:r>
        <w:t>руют сверхкороткие световые импульсы длительностью до 5·10</w:t>
      </w:r>
      <w:r>
        <w:rPr>
          <w:vertAlign w:val="superscript"/>
        </w:rPr>
        <w:t>-13</w:t>
      </w:r>
      <w:r>
        <w:t xml:space="preserve"> с мощностью в импульсе до 10</w:t>
      </w:r>
      <w:r>
        <w:rPr>
          <w:vertAlign w:val="superscript"/>
        </w:rPr>
        <w:t>13</w:t>
      </w:r>
      <w:r>
        <w:t xml:space="preserve"> Вт и более. КПД лазеров на стеклах в</w:t>
      </w:r>
      <w:r>
        <w:t>ы</w:t>
      </w:r>
      <w:r>
        <w:t>ше, чем на гранатах. Он достигает значений порядка 8-10%.</w:t>
      </w:r>
    </w:p>
    <w:p w:rsidR="00ED6A94" w:rsidRDefault="00B55838" w:rsidP="001E22A7">
      <w:pPr>
        <w:rPr>
          <w:rFonts w:ascii="Arial" w:hAnsi="Arial"/>
          <w:b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2183130</wp:posOffset>
            </wp:positionV>
            <wp:extent cx="2390775" cy="2771775"/>
            <wp:effectExtent l="19050" t="0" r="9525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6A94">
        <w:rPr>
          <w:b/>
        </w:rPr>
        <w:t>Режим свободной генерации.</w:t>
      </w:r>
      <w:r w:rsidR="00ED6A94">
        <w:rPr>
          <w:rFonts w:ascii="Arial" w:hAnsi="Arial"/>
          <w:b/>
        </w:rPr>
        <w:t xml:space="preserve"> </w:t>
      </w:r>
      <w:r w:rsidR="00ED6A94">
        <w:t xml:space="preserve">При работе твердотельных лазеров реализуется два режима работы: </w:t>
      </w:r>
      <w:r w:rsidR="00ED6A94" w:rsidRPr="00C0767A">
        <w:rPr>
          <w:i/>
        </w:rPr>
        <w:t>режим свободной генерации</w:t>
      </w:r>
      <w:r w:rsidR="00ED6A94">
        <w:t xml:space="preserve">, когда в резонатор не вводятся управляющие элементы и </w:t>
      </w:r>
      <w:r w:rsidR="00ED6A94" w:rsidRPr="00C0767A">
        <w:rPr>
          <w:i/>
        </w:rPr>
        <w:t>режим модул</w:t>
      </w:r>
      <w:r w:rsidR="00ED6A94" w:rsidRPr="00C0767A">
        <w:rPr>
          <w:i/>
        </w:rPr>
        <w:t>и</w:t>
      </w:r>
      <w:r w:rsidR="00ED6A94" w:rsidRPr="00C0767A">
        <w:rPr>
          <w:i/>
        </w:rPr>
        <w:t>рованной добротности,</w:t>
      </w:r>
      <w:r w:rsidR="00ED6A94">
        <w:t xml:space="preserve"> когда в лазер вводятся управляющие элементы. Лазерное излучение в режиме свободной генерации  часто носит нерег</w:t>
      </w:r>
      <w:r w:rsidR="00ED6A94">
        <w:t>у</w:t>
      </w:r>
      <w:r w:rsidR="00ED6A94">
        <w:t>лярный характер с наличием серии релаксационных импульсов (пи</w:t>
      </w:r>
      <w:r w:rsidR="00ED6A94">
        <w:t>ч</w:t>
      </w:r>
      <w:r w:rsidR="00ED6A94">
        <w:t>ков), положение которых во времени меняется случайным образом. При н</w:t>
      </w:r>
      <w:r w:rsidR="00ED6A94">
        <w:t>е</w:t>
      </w:r>
      <w:r w:rsidR="00ED6A94">
        <w:t>стационарном импульсном режиме генерации характерные времена пи</w:t>
      </w:r>
      <w:r w:rsidR="00ED6A94">
        <w:t>ч</w:t>
      </w:r>
      <w:r w:rsidR="00ED6A94">
        <w:t>ков короче времени релаксации рабочих уровней активной среды. Ра</w:t>
      </w:r>
      <w:r w:rsidR="00ED6A94">
        <w:t>с</w:t>
      </w:r>
      <w:r w:rsidR="00ED6A94">
        <w:t>смотрим качественную картину процесса нестационарной свободной генерации в твердотельном лазере . При использовании импульсной газ</w:t>
      </w:r>
      <w:r w:rsidR="00ED6A94">
        <w:t>о</w:t>
      </w:r>
      <w:r w:rsidR="00ED6A94">
        <w:t>разрядной лампы накачки энергия излучения накачки -</w:t>
      </w:r>
      <w:r w:rsidR="00ED6A94">
        <w:rPr>
          <w:i/>
        </w:rPr>
        <w:t>Р</w:t>
      </w:r>
      <w:r w:rsidR="00ED6A94">
        <w:rPr>
          <w:i/>
          <w:position w:val="-10"/>
        </w:rPr>
        <w:object w:dxaOrig="200" w:dyaOrig="340">
          <v:shape id="_x0000_i1030" type="#_x0000_t75" style="width:9.75pt;height:17.25pt" o:ole="" fillcolor="window">
            <v:imagedata r:id="rId21" o:title=""/>
          </v:shape>
          <o:OLEObject Type="Embed" ProgID="Equation.3" ShapeID="_x0000_i1030" DrawAspect="Content" ObjectID="_1322247178" r:id="rId22"/>
        </w:object>
      </w:r>
      <w:r w:rsidR="00ED6A94">
        <w:t xml:space="preserve"> изменяется во времени как показано на рисунке 20.16., а длительность импульса излучения с</w:t>
      </w:r>
      <w:r w:rsidR="00ED6A94">
        <w:t>о</w:t>
      </w:r>
      <w:r w:rsidR="00ED6A94">
        <w:t xml:space="preserve">ставляет 0,1-1 мс. </w:t>
      </w:r>
    </w:p>
    <w:p w:rsidR="00ED6A94" w:rsidRPr="00C0767A" w:rsidRDefault="00ED6A94" w:rsidP="001E22A7">
      <w:pPr>
        <w:rPr>
          <w:szCs w:val="28"/>
        </w:rPr>
      </w:pPr>
      <w:r w:rsidRPr="00C0767A">
        <w:rPr>
          <w:szCs w:val="28"/>
        </w:rPr>
        <w:t>После включения накачки под воздействием излучения накачки нас</w:t>
      </w:r>
      <w:r w:rsidRPr="00C0767A">
        <w:rPr>
          <w:szCs w:val="28"/>
        </w:rPr>
        <w:t>е</w:t>
      </w:r>
      <w:r w:rsidRPr="00C0767A">
        <w:rPr>
          <w:szCs w:val="28"/>
        </w:rPr>
        <w:t>ленность верхнего рабочего уровня будет возрастать и в некоторый м</w:t>
      </w:r>
      <w:r w:rsidRPr="00C0767A">
        <w:rPr>
          <w:szCs w:val="28"/>
        </w:rPr>
        <w:t>о</w:t>
      </w:r>
      <w:r w:rsidRPr="00C0767A">
        <w:rPr>
          <w:szCs w:val="28"/>
        </w:rPr>
        <w:t xml:space="preserve">мент, достигнет пороговой величины </w:t>
      </w:r>
      <w:r w:rsidRPr="00C0767A">
        <w:rPr>
          <w:i/>
          <w:szCs w:val="28"/>
          <w:lang w:val="en-US"/>
        </w:rPr>
        <w:t>N</w:t>
      </w:r>
      <w:r w:rsidRPr="00C0767A">
        <w:rPr>
          <w:i/>
          <w:szCs w:val="28"/>
          <w:vertAlign w:val="subscript"/>
        </w:rPr>
        <w:t xml:space="preserve">2 </w:t>
      </w:r>
      <w:r w:rsidRPr="00C0767A">
        <w:rPr>
          <w:i/>
          <w:szCs w:val="28"/>
        </w:rPr>
        <w:t>пор.,</w:t>
      </w:r>
      <w:r w:rsidRPr="00C0767A">
        <w:rPr>
          <w:szCs w:val="28"/>
        </w:rPr>
        <w:t xml:space="preserve"> при которой возникает г</w:t>
      </w:r>
      <w:r w:rsidRPr="00C0767A">
        <w:rPr>
          <w:szCs w:val="28"/>
        </w:rPr>
        <w:t>е</w:t>
      </w:r>
      <w:r w:rsidRPr="00C0767A">
        <w:rPr>
          <w:szCs w:val="28"/>
        </w:rPr>
        <w:t xml:space="preserve">нерация (рисунок 20.16,б).  Время задержки </w:t>
      </w:r>
      <w:r w:rsidRPr="00C0767A">
        <w:rPr>
          <w:i/>
          <w:szCs w:val="28"/>
          <w:lang w:val="en-US"/>
        </w:rPr>
        <w:t>t</w:t>
      </w:r>
      <w:r w:rsidRPr="00C0767A">
        <w:rPr>
          <w:i/>
          <w:szCs w:val="28"/>
          <w:vertAlign w:val="subscript"/>
        </w:rPr>
        <w:t>З</w:t>
      </w:r>
      <w:r w:rsidRPr="00C0767A">
        <w:rPr>
          <w:szCs w:val="28"/>
          <w:vertAlign w:val="subscript"/>
        </w:rPr>
        <w:t xml:space="preserve"> </w:t>
      </w:r>
      <w:r w:rsidRPr="00C0767A">
        <w:rPr>
          <w:szCs w:val="28"/>
        </w:rPr>
        <w:t xml:space="preserve"> лазерной генерации отн</w:t>
      </w:r>
      <w:r w:rsidRPr="00C0767A">
        <w:rPr>
          <w:szCs w:val="28"/>
        </w:rPr>
        <w:t>о</w:t>
      </w:r>
      <w:r w:rsidRPr="00C0767A">
        <w:rPr>
          <w:szCs w:val="28"/>
        </w:rPr>
        <w:t>сительно включения лампы накачки составляет величину порядка 10</w:t>
      </w:r>
      <w:r w:rsidRPr="00C0767A">
        <w:rPr>
          <w:szCs w:val="28"/>
          <w:vertAlign w:val="superscript"/>
        </w:rPr>
        <w:t>-5</w:t>
      </w:r>
      <w:r w:rsidRPr="00C0767A">
        <w:rPr>
          <w:szCs w:val="28"/>
        </w:rPr>
        <w:t xml:space="preserve"> - 10</w:t>
      </w:r>
      <w:r w:rsidRPr="00C0767A">
        <w:rPr>
          <w:szCs w:val="28"/>
          <w:vertAlign w:val="superscript"/>
        </w:rPr>
        <w:t xml:space="preserve">-4 </w:t>
      </w:r>
      <w:r w:rsidRPr="00C0767A">
        <w:rPr>
          <w:szCs w:val="28"/>
        </w:rPr>
        <w:t xml:space="preserve">с.  Дальнейшее возрастание </w:t>
      </w:r>
      <w:r w:rsidRPr="00C0767A">
        <w:rPr>
          <w:i/>
          <w:szCs w:val="28"/>
          <w:lang w:val="en-US"/>
        </w:rPr>
        <w:t>N</w:t>
      </w:r>
      <w:r w:rsidRPr="00C0767A">
        <w:rPr>
          <w:i/>
          <w:szCs w:val="28"/>
          <w:vertAlign w:val="subscript"/>
        </w:rPr>
        <w:t>2</w:t>
      </w:r>
      <w:r w:rsidRPr="00C0767A">
        <w:rPr>
          <w:szCs w:val="28"/>
          <w:vertAlign w:val="subscript"/>
        </w:rPr>
        <w:t xml:space="preserve"> </w:t>
      </w:r>
      <w:r w:rsidRPr="00C0767A">
        <w:rPr>
          <w:szCs w:val="28"/>
        </w:rPr>
        <w:t>вызывает быстрый рост интенсивности электромагнитного поля на частоте генерации, что приводит к ув</w:t>
      </w:r>
      <w:r w:rsidRPr="00C0767A">
        <w:rPr>
          <w:szCs w:val="28"/>
        </w:rPr>
        <w:t>е</w:t>
      </w:r>
      <w:r w:rsidRPr="00C0767A">
        <w:rPr>
          <w:szCs w:val="28"/>
        </w:rPr>
        <w:t xml:space="preserve">личению </w:t>
      </w:r>
      <w:r w:rsidRPr="00C0767A">
        <w:rPr>
          <w:szCs w:val="28"/>
        </w:rPr>
        <w:lastRenderedPageBreak/>
        <w:t xml:space="preserve">вероятности индуцированных переходов с верхнего лазерного уровня </w:t>
      </w:r>
      <w:r w:rsidRPr="00C0767A">
        <w:rPr>
          <w:i/>
          <w:szCs w:val="28"/>
        </w:rPr>
        <w:t>N</w:t>
      </w:r>
      <w:r w:rsidRPr="00C0767A">
        <w:rPr>
          <w:i/>
          <w:szCs w:val="28"/>
          <w:vertAlign w:val="subscript"/>
        </w:rPr>
        <w:t>2</w:t>
      </w:r>
      <w:r w:rsidRPr="00C0767A">
        <w:rPr>
          <w:szCs w:val="28"/>
        </w:rPr>
        <w:t>, которая прямо пропорциональна плотности излучения. В р</w:t>
      </w:r>
      <w:r w:rsidRPr="00C0767A">
        <w:rPr>
          <w:szCs w:val="28"/>
        </w:rPr>
        <w:t>е</w:t>
      </w:r>
      <w:r w:rsidRPr="00C0767A">
        <w:rPr>
          <w:szCs w:val="28"/>
        </w:rPr>
        <w:t xml:space="preserve">зультате уменьшается населенность </w:t>
      </w:r>
      <w:r w:rsidRPr="00C0767A">
        <w:rPr>
          <w:i/>
          <w:szCs w:val="28"/>
        </w:rPr>
        <w:t>N</w:t>
      </w:r>
      <w:r w:rsidRPr="00C0767A">
        <w:rPr>
          <w:i/>
          <w:szCs w:val="28"/>
          <w:vertAlign w:val="subscript"/>
        </w:rPr>
        <w:t>2</w:t>
      </w:r>
      <w:r w:rsidRPr="00C0767A">
        <w:rPr>
          <w:szCs w:val="28"/>
        </w:rPr>
        <w:t xml:space="preserve"> и соответственно инверсия  населенностей. Более подробно этот пр</w:t>
      </w:r>
      <w:r w:rsidRPr="00C0767A">
        <w:rPr>
          <w:szCs w:val="28"/>
        </w:rPr>
        <w:t>о</w:t>
      </w:r>
      <w:r w:rsidRPr="00C0767A">
        <w:rPr>
          <w:szCs w:val="28"/>
        </w:rPr>
        <w:t>цесс выглядит следующим образом. В начальной стадии генерации, когда сразу же после времени запаздывания энергия индуцированного излучения мала, незнач</w:t>
      </w:r>
      <w:r w:rsidRPr="00C0767A">
        <w:rPr>
          <w:szCs w:val="28"/>
        </w:rPr>
        <w:t>и</w:t>
      </w:r>
      <w:r w:rsidRPr="00C0767A">
        <w:rPr>
          <w:szCs w:val="28"/>
        </w:rPr>
        <w:t>тельно  и число индуцированных переходов. Под действием энергии накачки продолж</w:t>
      </w:r>
      <w:r w:rsidRPr="00C0767A">
        <w:rPr>
          <w:szCs w:val="28"/>
        </w:rPr>
        <w:t>а</w:t>
      </w:r>
      <w:r w:rsidRPr="00C0767A">
        <w:rPr>
          <w:szCs w:val="28"/>
        </w:rPr>
        <w:t>ется накопление частиц на верхнем уровне перехода. Поскольку инте</w:t>
      </w:r>
      <w:r w:rsidRPr="00C0767A">
        <w:rPr>
          <w:szCs w:val="28"/>
        </w:rPr>
        <w:t>н</w:t>
      </w:r>
      <w:r w:rsidRPr="00C0767A">
        <w:rPr>
          <w:szCs w:val="28"/>
        </w:rPr>
        <w:t>сивность индуцированных переходов непрерывно растет, начиная с н</w:t>
      </w:r>
      <w:r w:rsidRPr="00C0767A">
        <w:rPr>
          <w:szCs w:val="28"/>
        </w:rPr>
        <w:t>е</w:t>
      </w:r>
      <w:r w:rsidRPr="00C0767A">
        <w:rPr>
          <w:szCs w:val="28"/>
        </w:rPr>
        <w:t>которого момента времени, поступление частиц на верхний уровень за счет накачки оказывается недостаточным из-за интенсивных индуцированных переходов. Поэтому с этого м</w:t>
      </w:r>
      <w:r w:rsidRPr="00C0767A">
        <w:rPr>
          <w:szCs w:val="28"/>
        </w:rPr>
        <w:t>о</w:t>
      </w:r>
      <w:r w:rsidRPr="00C0767A">
        <w:rPr>
          <w:szCs w:val="28"/>
        </w:rPr>
        <w:t xml:space="preserve">мента времени </w:t>
      </w:r>
      <w:r w:rsidRPr="00C0767A">
        <w:rPr>
          <w:i/>
          <w:szCs w:val="28"/>
        </w:rPr>
        <w:t>N</w:t>
      </w:r>
      <w:r w:rsidRPr="00C0767A">
        <w:rPr>
          <w:i/>
          <w:szCs w:val="28"/>
          <w:vertAlign w:val="subscript"/>
        </w:rPr>
        <w:t>2</w:t>
      </w:r>
      <w:r w:rsidRPr="00C0767A">
        <w:rPr>
          <w:szCs w:val="28"/>
        </w:rPr>
        <w:t xml:space="preserve"> начинает уменьшаться до тех пор, пока не снизится до </w:t>
      </w:r>
      <w:r w:rsidRPr="00C0767A">
        <w:rPr>
          <w:i/>
          <w:szCs w:val="28"/>
          <w:lang w:val="en-US"/>
        </w:rPr>
        <w:t>N</w:t>
      </w:r>
      <w:r w:rsidRPr="00C0767A">
        <w:rPr>
          <w:i/>
          <w:szCs w:val="28"/>
          <w:vertAlign w:val="subscript"/>
        </w:rPr>
        <w:t>2пор</w:t>
      </w:r>
      <w:r w:rsidRPr="00C0767A">
        <w:rPr>
          <w:i/>
          <w:szCs w:val="28"/>
        </w:rPr>
        <w:t xml:space="preserve"> </w:t>
      </w:r>
      <w:r w:rsidRPr="00C0767A">
        <w:rPr>
          <w:szCs w:val="28"/>
        </w:rPr>
        <w:t>(рис</w:t>
      </w:r>
      <w:r w:rsidRPr="00C0767A">
        <w:rPr>
          <w:szCs w:val="28"/>
        </w:rPr>
        <w:t>у</w:t>
      </w:r>
      <w:r w:rsidRPr="00C0767A">
        <w:rPr>
          <w:szCs w:val="28"/>
        </w:rPr>
        <w:t xml:space="preserve">нок 20.16,б). При   </w:t>
      </w:r>
      <w:r w:rsidRPr="00C0767A">
        <w:rPr>
          <w:i/>
          <w:szCs w:val="28"/>
        </w:rPr>
        <w:t>N</w:t>
      </w:r>
      <w:r w:rsidRPr="00C0767A">
        <w:rPr>
          <w:i/>
          <w:szCs w:val="28"/>
          <w:vertAlign w:val="subscript"/>
        </w:rPr>
        <w:t xml:space="preserve">2 </w:t>
      </w:r>
      <w:r w:rsidRPr="00C0767A">
        <w:rPr>
          <w:i/>
          <w:szCs w:val="28"/>
        </w:rPr>
        <w:t xml:space="preserve">&lt; </w:t>
      </w:r>
      <w:r w:rsidRPr="00C0767A">
        <w:rPr>
          <w:i/>
          <w:szCs w:val="28"/>
          <w:lang w:val="en-US"/>
        </w:rPr>
        <w:t>N</w:t>
      </w:r>
      <w:r w:rsidRPr="00C0767A">
        <w:rPr>
          <w:i/>
          <w:szCs w:val="28"/>
          <w:vertAlign w:val="subscript"/>
        </w:rPr>
        <w:t>2пор</w:t>
      </w:r>
      <w:r w:rsidRPr="00C0767A">
        <w:rPr>
          <w:i/>
          <w:szCs w:val="28"/>
        </w:rPr>
        <w:t xml:space="preserve"> </w:t>
      </w:r>
      <w:r w:rsidRPr="00C0767A">
        <w:rPr>
          <w:szCs w:val="28"/>
        </w:rPr>
        <w:t>условие баланса амплитуд не будет выполняться и г</w:t>
      </w:r>
      <w:r w:rsidRPr="00C0767A">
        <w:rPr>
          <w:szCs w:val="28"/>
        </w:rPr>
        <w:t>е</w:t>
      </w:r>
      <w:r w:rsidRPr="00C0767A">
        <w:rPr>
          <w:szCs w:val="28"/>
        </w:rPr>
        <w:t>нерация сорвется. После этого вновь будет происходить накопление возбужде</w:t>
      </w:r>
      <w:r w:rsidRPr="00C0767A">
        <w:rPr>
          <w:szCs w:val="28"/>
        </w:rPr>
        <w:t>н</w:t>
      </w:r>
      <w:r w:rsidRPr="00C0767A">
        <w:rPr>
          <w:szCs w:val="28"/>
        </w:rPr>
        <w:t>ных частиц на верхнем рабочем уровне, и процесс начинает повторяться. Возникает сл</w:t>
      </w:r>
      <w:r w:rsidRPr="00C0767A">
        <w:rPr>
          <w:szCs w:val="28"/>
        </w:rPr>
        <w:t>е</w:t>
      </w:r>
      <w:r w:rsidRPr="00C0767A">
        <w:rPr>
          <w:szCs w:val="28"/>
        </w:rPr>
        <w:t xml:space="preserve">дующие импульсы и т.д. Как правило, излучение - </w:t>
      </w:r>
      <w:r w:rsidRPr="00C0767A">
        <w:rPr>
          <w:i/>
          <w:szCs w:val="28"/>
        </w:rPr>
        <w:t>Р</w:t>
      </w:r>
      <w:r w:rsidRPr="00C0767A">
        <w:rPr>
          <w:i/>
          <w:position w:val="-12"/>
          <w:szCs w:val="28"/>
        </w:rPr>
        <w:object w:dxaOrig="260" w:dyaOrig="360">
          <v:shape id="_x0000_i1031" type="#_x0000_t75" style="width:12.75pt;height:18pt" o:ole="" fillcolor="window">
            <v:imagedata r:id="rId23" o:title=""/>
          </v:shape>
          <o:OLEObject Type="Embed" ProgID="Equation.3" ShapeID="_x0000_i1031" DrawAspect="Content" ObjectID="_1322247179" r:id="rId24"/>
        </w:object>
      </w:r>
      <w:r w:rsidRPr="00C0767A">
        <w:rPr>
          <w:szCs w:val="28"/>
        </w:rPr>
        <w:t>твердотельных лазеров сост</w:t>
      </w:r>
      <w:r w:rsidRPr="00C0767A">
        <w:rPr>
          <w:szCs w:val="28"/>
        </w:rPr>
        <w:t>о</w:t>
      </w:r>
      <w:r w:rsidRPr="00C0767A">
        <w:rPr>
          <w:szCs w:val="28"/>
        </w:rPr>
        <w:t>ит из последовательности нерегулярных по амплитуде и временному положению импульсов – «пичков» (рисунок 20.16, в) Рассмотренный процесс генерации часто наблюдается и во многих генераторах непрерывного режима. Причины возникновения незат</w:t>
      </w:r>
      <w:r w:rsidRPr="00C0767A">
        <w:rPr>
          <w:szCs w:val="28"/>
        </w:rPr>
        <w:t>у</w:t>
      </w:r>
      <w:r w:rsidRPr="00C0767A">
        <w:rPr>
          <w:szCs w:val="28"/>
        </w:rPr>
        <w:t>хающих случайных колебаний могут быть самыми разнообразными. Они могут быть обусловлены нестабильностью параметров лазера, взаимодействием различных мод при многомодовой генерации, пространственной неоднородностью накачки и ее пульсациями, наличием неоднородностей в кристаллах и другими факт</w:t>
      </w:r>
      <w:r w:rsidRPr="00C0767A">
        <w:rPr>
          <w:szCs w:val="28"/>
        </w:rPr>
        <w:t>о</w:t>
      </w:r>
      <w:r w:rsidRPr="00C0767A">
        <w:rPr>
          <w:szCs w:val="28"/>
        </w:rPr>
        <w:t>рами. Длительность пичков составляет 0,1…10 мкс.</w:t>
      </w:r>
    </w:p>
    <w:p w:rsidR="0084294F" w:rsidRDefault="0084294F" w:rsidP="001E22A7">
      <w:pPr>
        <w:rPr>
          <w:rFonts w:ascii="Arial" w:hAnsi="Arial"/>
          <w:b/>
        </w:rPr>
      </w:pPr>
      <w:r>
        <w:rPr>
          <w:b/>
        </w:rPr>
        <w:t>Режим модулированной добротности.</w:t>
      </w:r>
      <w:r>
        <w:rPr>
          <w:rFonts w:ascii="Arial" w:hAnsi="Arial"/>
          <w:b/>
        </w:rPr>
        <w:t xml:space="preserve"> </w:t>
      </w:r>
      <w:r>
        <w:t>Режим модулированной добротности реализуется при импульсной работе лазера, когда за сра</w:t>
      </w:r>
      <w:r>
        <w:t>в</w:t>
      </w:r>
      <w:r>
        <w:t>нительно большой промежуток времени происходит накопление частиц на верхнем рабочем уровне активного вещества за счет энергии накачки, при этом для предотвращения лазерной генерации в процессе накачки в резонатор вводятся элементы (затворы), управляющие его добротн</w:t>
      </w:r>
      <w:r>
        <w:t>о</w:t>
      </w:r>
      <w:r>
        <w:t>стью. Эти управляющие элементы по сути дела регулируют моменты времени, когда выполняются условия баланса амплитуд и фаз. В качес</w:t>
      </w:r>
      <w:r>
        <w:t>т</w:t>
      </w:r>
      <w:r>
        <w:t>ве элементов управляющих добротностью используя механические, электрооптические и пассивные затворы. После того как населенность верхнего уровня достигнет больших значений, затвор выключается (убирается), добротность резко возрастает, условия баланса фаз и мо</w:t>
      </w:r>
      <w:r>
        <w:t>щ</w:t>
      </w:r>
      <w:r>
        <w:t>ности выполняются, и возникает мощный короткий импульс излучения. Лазеры с управляемой добротностью позволяют получить импульсы света с длительностью 10</w:t>
      </w:r>
      <w:r>
        <w:rPr>
          <w:vertAlign w:val="superscript"/>
        </w:rPr>
        <w:t>-7</w:t>
      </w:r>
      <w:r>
        <w:t xml:space="preserve"> - 10</w:t>
      </w:r>
      <w:r>
        <w:rPr>
          <w:vertAlign w:val="superscript"/>
        </w:rPr>
        <w:t xml:space="preserve">-9 </w:t>
      </w:r>
      <w:r>
        <w:t>с и менее при пиковой мощности излучения до 10</w:t>
      </w:r>
      <w:r>
        <w:rPr>
          <w:vertAlign w:val="superscript"/>
        </w:rPr>
        <w:t xml:space="preserve">12 </w:t>
      </w:r>
      <w:r>
        <w:t xml:space="preserve">Вт. Диаграммы, поясняющие процессы в лазере с </w:t>
      </w:r>
      <w:r>
        <w:lastRenderedPageBreak/>
        <w:t>модулированной добротностью, представлены на рисунке 20.17, где предста</w:t>
      </w:r>
      <w:r>
        <w:t>в</w:t>
      </w:r>
      <w:r>
        <w:t xml:space="preserve">лены временные зависимости мощности источника накачки </w:t>
      </w:r>
      <w:r>
        <w:rPr>
          <w:i/>
        </w:rPr>
        <w:t>Р</w:t>
      </w:r>
      <w:r>
        <w:rPr>
          <w:i/>
          <w:vertAlign w:val="subscript"/>
        </w:rPr>
        <w:t>н</w:t>
      </w:r>
      <w:r>
        <w:t>, измен</w:t>
      </w:r>
      <w:r>
        <w:t>е</w:t>
      </w:r>
      <w:r>
        <w:t xml:space="preserve">ния добротности </w:t>
      </w:r>
      <w:r>
        <w:rPr>
          <w:i/>
          <w:lang w:val="en-US"/>
        </w:rPr>
        <w:t>Q</w:t>
      </w:r>
      <w:r>
        <w:t xml:space="preserve">, населенности  верхнего уровня рабочего перехода </w:t>
      </w:r>
      <w:r>
        <w:rPr>
          <w:i/>
        </w:rPr>
        <w:t>N</w:t>
      </w:r>
      <w:r>
        <w:rPr>
          <w:i/>
          <w:vertAlign w:val="subscript"/>
        </w:rPr>
        <w:t>2</w:t>
      </w:r>
      <w:r>
        <w:t xml:space="preserve"> и мощности излучения лазера </w:t>
      </w:r>
      <w:r>
        <w:rPr>
          <w:i/>
        </w:rPr>
        <w:t>Р</w:t>
      </w:r>
      <w:r>
        <w:rPr>
          <w:i/>
          <w:vertAlign w:val="subscript"/>
        </w:rPr>
        <w:t>изл</w:t>
      </w:r>
      <w:r>
        <w:t xml:space="preserve"> . </w:t>
      </w:r>
      <w:r w:rsidR="00B55838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784860</wp:posOffset>
            </wp:positionV>
            <wp:extent cx="2000250" cy="3400425"/>
            <wp:effectExtent l="19050" t="0" r="0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340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За счет введения затвора к моме</w:t>
      </w:r>
      <w:r>
        <w:t>н</w:t>
      </w:r>
      <w:r>
        <w:t xml:space="preserve">ту включения источника накачки существенно увеличиваются потери в резонаторе, его добротность </w:t>
      </w:r>
      <w:r>
        <w:rPr>
          <w:i/>
          <w:lang w:val="en-US"/>
        </w:rPr>
        <w:t>Q</w:t>
      </w:r>
      <w:r>
        <w:t xml:space="preserve"> мала. В этом состоянии с малой добро</w:t>
      </w:r>
      <w:r>
        <w:t>т</w:t>
      </w:r>
      <w:r>
        <w:t xml:space="preserve">ностью пороговая населенность верхнего рабочего уровня </w:t>
      </w:r>
      <w:r>
        <w:rPr>
          <w:i/>
        </w:rPr>
        <w:t>N</w:t>
      </w:r>
      <w:r>
        <w:rPr>
          <w:i/>
          <w:vertAlign w:val="subscript"/>
        </w:rPr>
        <w:t>2пор</w:t>
      </w:r>
      <w:r>
        <w:rPr>
          <w:vertAlign w:val="subscript"/>
        </w:rPr>
        <w:t xml:space="preserve"> </w:t>
      </w:r>
      <w:r>
        <w:t>будет больше по сравнению с пороговой населенностью при отсутствии затв</w:t>
      </w:r>
      <w:r>
        <w:t>о</w:t>
      </w:r>
      <w:r>
        <w:t xml:space="preserve">ра, и она не может реализоваться при данной мощности накачки </w:t>
      </w:r>
      <w:r>
        <w:rPr>
          <w:i/>
        </w:rPr>
        <w:t>Р</w:t>
      </w:r>
      <w:r>
        <w:rPr>
          <w:i/>
          <w:vertAlign w:val="subscript"/>
        </w:rPr>
        <w:t>н</w:t>
      </w:r>
      <w:r>
        <w:t>. В результате под действием источника накачки будет происходить пост</w:t>
      </w:r>
      <w:r>
        <w:t>о</w:t>
      </w:r>
      <w:r>
        <w:t xml:space="preserve">янное накопление активных частиц на верхнем уровне. Через некоторое время </w:t>
      </w:r>
      <w:r>
        <w:rPr>
          <w:i/>
          <w:lang w:val="en-US"/>
        </w:rPr>
        <w:t>t</w:t>
      </w:r>
      <w:r>
        <w:rPr>
          <w:i/>
          <w:vertAlign w:val="subscript"/>
        </w:rPr>
        <w:t>1</w:t>
      </w:r>
      <w:r>
        <w:t xml:space="preserve"> населенность </w:t>
      </w:r>
      <w:r>
        <w:rPr>
          <w:i/>
        </w:rPr>
        <w:t>N</w:t>
      </w:r>
      <w:r>
        <w:rPr>
          <w:i/>
          <w:vertAlign w:val="subscript"/>
        </w:rPr>
        <w:t>2</w:t>
      </w:r>
      <w:r>
        <w:rPr>
          <w:vertAlign w:val="subscript"/>
        </w:rPr>
        <w:t xml:space="preserve">  </w:t>
      </w:r>
      <w:r>
        <w:t xml:space="preserve">достигнет максимального значения для данной </w:t>
      </w:r>
      <w:r>
        <w:rPr>
          <w:i/>
        </w:rPr>
        <w:t>Р</w:t>
      </w:r>
      <w:r>
        <w:rPr>
          <w:i/>
          <w:vertAlign w:val="subscript"/>
        </w:rPr>
        <w:t>н</w:t>
      </w:r>
      <w:r>
        <w:t>.</w:t>
      </w:r>
    </w:p>
    <w:p w:rsidR="0084294F" w:rsidRDefault="0084294F" w:rsidP="001E22A7">
      <w:r>
        <w:t xml:space="preserve">Приближенно можно считать, что вся энергия, которая в режиме свободной генерации излучалась пичками к моменту </w:t>
      </w:r>
      <w:r>
        <w:rPr>
          <w:i/>
        </w:rPr>
        <w:t>t</w:t>
      </w:r>
      <w:r>
        <w:rPr>
          <w:i/>
          <w:vertAlign w:val="subscript"/>
        </w:rPr>
        <w:t>1</w:t>
      </w:r>
      <w:r>
        <w:t xml:space="preserve"> будет накоплена в активном элементе.</w:t>
      </w:r>
    </w:p>
    <w:p w:rsidR="0084294F" w:rsidRDefault="0084294F" w:rsidP="001E22A7">
      <w:r>
        <w:t xml:space="preserve">В момент </w:t>
      </w:r>
      <w:r>
        <w:rPr>
          <w:i/>
        </w:rPr>
        <w:t>t</w:t>
      </w:r>
      <w:r>
        <w:rPr>
          <w:i/>
          <w:vertAlign w:val="subscript"/>
        </w:rPr>
        <w:t>1</w:t>
      </w:r>
      <w:r>
        <w:t xml:space="preserve">, когда </w:t>
      </w:r>
      <w:r>
        <w:rPr>
          <w:i/>
        </w:rPr>
        <w:t>N</w:t>
      </w:r>
      <w:r>
        <w:rPr>
          <w:i/>
          <w:vertAlign w:val="subscript"/>
        </w:rPr>
        <w:t>2</w:t>
      </w:r>
      <w:r>
        <w:rPr>
          <w:i/>
        </w:rPr>
        <w:t xml:space="preserve"> = N</w:t>
      </w:r>
      <w:r>
        <w:rPr>
          <w:i/>
          <w:vertAlign w:val="subscript"/>
        </w:rPr>
        <w:t>2max</w:t>
      </w:r>
      <w:r>
        <w:t xml:space="preserve"> затвор выключается, добротность </w:t>
      </w:r>
      <w:r>
        <w:rPr>
          <w:i/>
        </w:rPr>
        <w:t>Q</w:t>
      </w:r>
      <w:r>
        <w:t xml:space="preserve"> резко возрастает. При этой возросшей добротности </w:t>
      </w:r>
      <w:r>
        <w:rPr>
          <w:i/>
        </w:rPr>
        <w:t>N</w:t>
      </w:r>
      <w:r>
        <w:rPr>
          <w:i/>
          <w:vertAlign w:val="subscript"/>
        </w:rPr>
        <w:t>2max</w:t>
      </w:r>
      <w:r>
        <w:rPr>
          <w:i/>
        </w:rPr>
        <w:t xml:space="preserve"> &gt;&gt; N</w:t>
      </w:r>
      <w:r>
        <w:rPr>
          <w:i/>
          <w:vertAlign w:val="subscript"/>
        </w:rPr>
        <w:t>2пор</w:t>
      </w:r>
      <w:r>
        <w:t xml:space="preserve">, где </w:t>
      </w:r>
      <w:r>
        <w:rPr>
          <w:i/>
        </w:rPr>
        <w:t>N</w:t>
      </w:r>
      <w:r>
        <w:rPr>
          <w:i/>
          <w:vertAlign w:val="subscript"/>
        </w:rPr>
        <w:t>2пор</w:t>
      </w:r>
      <w:r>
        <w:t xml:space="preserve"> – пороговая населенность верхнего лазерного уровня для возро</w:t>
      </w:r>
      <w:r>
        <w:t>с</w:t>
      </w:r>
      <w:r>
        <w:t>шей добротности оптического резонатора. В результате происходит л</w:t>
      </w:r>
      <w:r>
        <w:t>а</w:t>
      </w:r>
      <w:r>
        <w:t>винообразное нарастание энергии лазерного излучения. Вся запасенная на рабочем лазерном переходе энергия излучается в одном коротком импульсе. Исследования показывают, что длительность импульса лазе</w:t>
      </w:r>
      <w:r>
        <w:t>р</w:t>
      </w:r>
      <w:r>
        <w:t>ного излучения  в режиме модулированной добротности примерно на 2 порядка меньше длительности каждого пичка при свободной генерации. Режим модуляции добротности, может осуществляться не обязательно при импульсной, но и при непрерывной накачке. Физические процессы будут такие же, как и при импульсной накачке. При включении затвора происходит накопление частиц на верхнем энергетическом уровне ан</w:t>
      </w:r>
      <w:r>
        <w:t>а</w:t>
      </w:r>
      <w:r>
        <w:t>логично режиму модулированной добротности при импульсной накачке. После выключения затвора формируется мощный кратковременный импульс излучения, за тем процессы повт</w:t>
      </w:r>
      <w:r>
        <w:t>о</w:t>
      </w:r>
      <w:r>
        <w:t>ряются.</w:t>
      </w:r>
    </w:p>
    <w:p w:rsidR="0084294F" w:rsidRDefault="0084294F" w:rsidP="001E22A7">
      <w:pPr>
        <w:rPr>
          <w:rFonts w:ascii="MS Shell Dlg" w:hAnsi="MS Shell Dlg"/>
        </w:rPr>
      </w:pPr>
      <w:r>
        <w:t>В режиме модулированной добротности на характеристики излуч</w:t>
      </w:r>
      <w:r>
        <w:t>е</w:t>
      </w:r>
      <w:r>
        <w:t>ния лазера существенное влияние оказывает скорость изменения до</w:t>
      </w:r>
      <w:r>
        <w:t>б</w:t>
      </w:r>
      <w:r>
        <w:t xml:space="preserve">ротности резонатора с помощью управляющего элемента при переходе его из закрытого в открытое состояние. </w:t>
      </w:r>
      <w:r>
        <w:lastRenderedPageBreak/>
        <w:t>Экспериментальные исследов</w:t>
      </w:r>
      <w:r>
        <w:t>а</w:t>
      </w:r>
      <w:r>
        <w:t>ния показывают, что при низкой скорости изменения добротности вм</w:t>
      </w:r>
      <w:r>
        <w:t>е</w:t>
      </w:r>
      <w:r>
        <w:t>сто одного импульса может излучаться пачка импульсов с убывающей во времени амплитудой. Такая структура лазерного излучения связана со свойствами индуцированных излучательных переходов. Многоимпуль</w:t>
      </w:r>
      <w:r>
        <w:t>с</w:t>
      </w:r>
      <w:r>
        <w:t>ная генерация в режиме модулированной добротности является нежел</w:t>
      </w:r>
      <w:r>
        <w:t>а</w:t>
      </w:r>
      <w:r>
        <w:t>тельным явлением из-за ухудшения характеристик лазерной системы. Для получения одноимпульсного излучения необходимо изменять добротность резонатора таким образом, чтобы она принимала установи</w:t>
      </w:r>
      <w:r>
        <w:t>в</w:t>
      </w:r>
      <w:r>
        <w:t>шиеся значения после окончания формирования первого импульса, т.е. управляющий элемент должен полностью изменять добротность резон</w:t>
      </w:r>
      <w:r>
        <w:t>а</w:t>
      </w:r>
      <w:r>
        <w:t xml:space="preserve">тора за время </w:t>
      </w:r>
      <w:r>
        <w:rPr>
          <w:i/>
          <w:lang w:val="en-US"/>
        </w:rPr>
        <w:t>t</w:t>
      </w:r>
      <w:r>
        <w:t xml:space="preserve"> соизмеримое с длительностью генерируемого импульса </w:t>
      </w:r>
      <w:r>
        <w:rPr>
          <w:i/>
          <w:lang w:val="en-US"/>
        </w:rPr>
        <w:t>t</w:t>
      </w:r>
      <w:r>
        <w:t xml:space="preserve"> </w:t>
      </w:r>
      <w:r>
        <w:rPr>
          <w:rFonts w:ascii="Times New Roman CYR" w:hAnsi="Times New Roman CYR"/>
        </w:rPr>
        <w:t>≈</w:t>
      </w:r>
      <w:r>
        <w:t xml:space="preserve"> 10</w:t>
      </w:r>
      <w:r>
        <w:rPr>
          <w:vertAlign w:val="superscript"/>
        </w:rPr>
        <w:t xml:space="preserve">-7 </w:t>
      </w:r>
      <w:r>
        <w:t xml:space="preserve"> - 10</w:t>
      </w:r>
      <w:r>
        <w:rPr>
          <w:vertAlign w:val="superscript"/>
        </w:rPr>
        <w:t xml:space="preserve">-9 </w:t>
      </w:r>
      <w:r>
        <w:t>с.</w:t>
      </w:r>
    </w:p>
    <w:p w:rsidR="0084294F" w:rsidRDefault="0084294F" w:rsidP="001E22A7">
      <w:r>
        <w:t>Отметим наиболее типичные методы модуляции добротности л</w:t>
      </w:r>
      <w:r>
        <w:t>а</w:t>
      </w:r>
      <w:r>
        <w:t>зеров.</w:t>
      </w:r>
    </w:p>
    <w:p w:rsidR="0084294F" w:rsidRDefault="0084294F" w:rsidP="001E22A7">
      <w:pPr>
        <w:rPr>
          <w:b/>
        </w:rPr>
      </w:pPr>
      <w:r>
        <w:rPr>
          <w:b/>
          <w:i/>
        </w:rPr>
        <w:t>Механические методы</w:t>
      </w:r>
      <w:r>
        <w:rPr>
          <w:b/>
        </w:rPr>
        <w:t xml:space="preserve">. </w:t>
      </w:r>
      <w:r>
        <w:t>Для реализации режима модуляции добро</w:t>
      </w:r>
      <w:r>
        <w:t>т</w:t>
      </w:r>
      <w:r>
        <w:t>ности используется метод, основанный на механическом вращении одного из зеркал резонатора. В механических затворах обычно и</w:t>
      </w:r>
      <w:r>
        <w:t>с</w:t>
      </w:r>
      <w:r>
        <w:t>пользуется не плоское или сферическое зеркало, а треугольная призма с полным внутренним отражением. Возбуждение колебаний в т</w:t>
      </w:r>
      <w:r>
        <w:t>а</w:t>
      </w:r>
      <w:r>
        <w:t>ком резонаторе возможно лишь в интервалы времени, когда угол м</w:t>
      </w:r>
      <w:r>
        <w:t>е</w:t>
      </w:r>
      <w:r>
        <w:t>жду плоскостями зеркал не превышает несколько угловых минут. Время переключения добротности 10</w:t>
      </w:r>
      <w:r>
        <w:rPr>
          <w:vertAlign w:val="superscript"/>
        </w:rPr>
        <w:t xml:space="preserve">-7 </w:t>
      </w:r>
      <w:r>
        <w:t>с можно реализовать при ск</w:t>
      </w:r>
      <w:r>
        <w:t>о</w:t>
      </w:r>
      <w:r>
        <w:t xml:space="preserve">ростях вращения призмы ~ 30000 об/мин. Включение лампы накачки синхронизируется с вращением зеркала. Разряд в лампе начинается за время </w:t>
      </w:r>
      <w:r>
        <w:rPr>
          <w:i/>
          <w:lang w:val="en-US"/>
        </w:rPr>
        <w:t>t</w:t>
      </w:r>
      <w:r>
        <w:rPr>
          <w:i/>
          <w:vertAlign w:val="subscript"/>
        </w:rPr>
        <w:t>1</w:t>
      </w:r>
      <w:r>
        <w:t>, до того как зеркало придет в положение соответствующее максимальной добротности резонатора. Использование призмы по</w:t>
      </w:r>
      <w:r>
        <w:t>л</w:t>
      </w:r>
      <w:r>
        <w:t>ного внутреннего отражения вместо плоского зеркала вызвано тем, что небольшие случайные колебания призмы вокруг горизонтальной оси не сказываются на работе лазера, что очень важно при эксплуатации т</w:t>
      </w:r>
      <w:r>
        <w:t>а</w:t>
      </w:r>
      <w:r>
        <w:t>кого затвора.</w:t>
      </w:r>
    </w:p>
    <w:p w:rsidR="0084294F" w:rsidRDefault="0084294F" w:rsidP="001E22A7">
      <w:pPr>
        <w:rPr>
          <w:b/>
        </w:rPr>
      </w:pPr>
      <w:r>
        <w:rPr>
          <w:b/>
          <w:i/>
        </w:rPr>
        <w:t>2. Электрооптические методы</w:t>
      </w:r>
      <w:r>
        <w:rPr>
          <w:b/>
        </w:rPr>
        <w:t xml:space="preserve">. </w:t>
      </w:r>
      <w:r>
        <w:t>Электрооптические затворы (модул</w:t>
      </w:r>
      <w:r>
        <w:t>я</w:t>
      </w:r>
      <w:r>
        <w:t>торы) работают на основе использования двойного лучепреломления в кристаллах, возникающего при воздействии электрического поля, и п</w:t>
      </w:r>
      <w:r>
        <w:t>о</w:t>
      </w:r>
      <w:r>
        <w:t>ляризационной призмы. Поляризационная призма играет роль поляриз</w:t>
      </w:r>
      <w:r>
        <w:t>а</w:t>
      </w:r>
      <w:r>
        <w:t>тора при распространении света от активной среды и роль оптического анализатора для отраженного света. Плоскополяризованное излучение в модуляционном кристалле преобразуется в излучение с эллиптической поляризацией и разлагается призмой на два пучка. Когда к модуляцио</w:t>
      </w:r>
      <w:r>
        <w:t>н</w:t>
      </w:r>
      <w:r>
        <w:t xml:space="preserve">ному кристаллу напряжение не приложено, почти весь световой поток сосредоточен в одном световом пучке и выводится из резонатора. Когда подается напряжение на кристалл, часть светового потока возвращается в активное вещество и при напряжении на кристалле равном некому критическому, энергия проходящего через кристалл излучения (второй световой пучок) принимает максимальное значение. В </w:t>
      </w:r>
      <w:r>
        <w:lastRenderedPageBreak/>
        <w:t>качестве электрооптической среды в затворах широко применяются кристаллы дигидрофосфата калия (</w:t>
      </w:r>
      <w:r>
        <w:rPr>
          <w:lang w:val="en-US"/>
        </w:rPr>
        <w:t>KDP</w:t>
      </w:r>
      <w:r>
        <w:t>) и рубидия (</w:t>
      </w:r>
      <w:r>
        <w:rPr>
          <w:lang w:val="en-US"/>
        </w:rPr>
        <w:t>RDP</w:t>
      </w:r>
      <w:r>
        <w:t>). К достоинствам электрооптич</w:t>
      </w:r>
      <w:r>
        <w:t>е</w:t>
      </w:r>
      <w:r>
        <w:t>ских затворов следует отнести высокое быстродействие, высокую сто</w:t>
      </w:r>
      <w:r>
        <w:t>й</w:t>
      </w:r>
      <w:r>
        <w:t>кость к воздействию мощного оптического излучения, отсутствие по</w:t>
      </w:r>
      <w:r>
        <w:t>д</w:t>
      </w:r>
      <w:r>
        <w:t>вижных частей и возможность электрического управления.</w:t>
      </w:r>
    </w:p>
    <w:p w:rsidR="0084294F" w:rsidRDefault="0084294F" w:rsidP="001E22A7">
      <w:pPr>
        <w:rPr>
          <w:b/>
        </w:rPr>
      </w:pPr>
      <w:r>
        <w:rPr>
          <w:b/>
          <w:i/>
        </w:rPr>
        <w:t>3. Фототропные управляющие затворы</w:t>
      </w:r>
      <w:r>
        <w:rPr>
          <w:b/>
        </w:rPr>
        <w:t xml:space="preserve">. </w:t>
      </w:r>
      <w:r>
        <w:t>Такие затворы представляют собой нелинейную оптическую среду, для которой коэффициент погл</w:t>
      </w:r>
      <w:r>
        <w:t>о</w:t>
      </w:r>
      <w:r>
        <w:t>щения излучения существенно уменьшается при возрастании проход</w:t>
      </w:r>
      <w:r>
        <w:t>я</w:t>
      </w:r>
      <w:r>
        <w:t>щей через нее мощности. Наиболее часто в этом случае применяют пр</w:t>
      </w:r>
      <w:r>
        <w:t>о</w:t>
      </w:r>
      <w:r>
        <w:t>светляющие красители. Эффект просветления определяется переходом поглощающих молекул красителя в возбужденное состояние и связа</w:t>
      </w:r>
      <w:r>
        <w:t>н</w:t>
      </w:r>
      <w:r>
        <w:t>ным с этим уменьшением показателя поглощения. Этот тип модуляторов является пассивным в отличие от первых двух.</w:t>
      </w:r>
    </w:p>
    <w:p w:rsidR="000137AD" w:rsidRDefault="000137AD" w:rsidP="001E22A7">
      <w:pPr>
        <w:rPr>
          <w:rFonts w:ascii="Arial" w:hAnsi="Arial"/>
          <w:b/>
        </w:rPr>
      </w:pPr>
      <w:r>
        <w:rPr>
          <w:b/>
        </w:rPr>
        <w:t>Энергетические характеристики лазеров.</w:t>
      </w:r>
      <w:r>
        <w:rPr>
          <w:rFonts w:ascii="Arial" w:hAnsi="Arial"/>
          <w:b/>
        </w:rPr>
        <w:t xml:space="preserve"> </w:t>
      </w:r>
      <w:r>
        <w:t>Энергия, излучаемая твердотельными лазерами, определяется энергией накачки и потерями в резонаторе, прежде всего коэффициентом пропускания полупрозрачного зеркала. Зависимость мощности излучения лазера на рубине и алюм</w:t>
      </w:r>
      <w:r>
        <w:t>и</w:t>
      </w:r>
      <w:r>
        <w:t>ний-иттриевом гранате представлена на рисунке 20.18 (а – импульсный режим, б – непрерывный режим). В принципе можно сказать, что эне</w:t>
      </w:r>
      <w:r>
        <w:t>р</w:t>
      </w:r>
      <w:r>
        <w:t>гия излучения пропорциональна превышению энергии накачки над п</w:t>
      </w:r>
      <w:r>
        <w:t>о</w:t>
      </w:r>
      <w:r>
        <w:t>роговым ее значением. Ее линейная зависимость от мощности источника накачки определяется свойствами индуцированных переходов, вероя</w:t>
      </w:r>
      <w:r>
        <w:t>т</w:t>
      </w:r>
      <w:r>
        <w:t>ность которых прямо пропорциональна плотности энергии электрома</w:t>
      </w:r>
      <w:r>
        <w:t>г</w:t>
      </w:r>
      <w:r>
        <w:t>нитного поля.</w:t>
      </w:r>
    </w:p>
    <w:p w:rsidR="000137AD" w:rsidRDefault="000137AD" w:rsidP="001E22A7">
      <w:r>
        <w:t>Как следует из энергетических диаграмм для рубиновых и неод</w:t>
      </w:r>
      <w:r>
        <w:t>и</w:t>
      </w:r>
      <w:r>
        <w:t>мовых лазеров инверсная населенность на рабочих уровнях определяе</w:t>
      </w:r>
      <w:r>
        <w:t>т</w:t>
      </w:r>
      <w:r>
        <w:t>ся заселенностью энергетических полос 3 (рисунки 20.9, 20.11). Энерг</w:t>
      </w:r>
      <w:r>
        <w:t>е</w:t>
      </w:r>
      <w:r>
        <w:t>тические полосы заселяются за счет индуцированного поглощения эне</w:t>
      </w:r>
      <w:r>
        <w:t>р</w:t>
      </w:r>
      <w:r>
        <w:t>гии накачки и, следовательно, их населенность прямо пропорциональна плотности энергии излучения лампы накачки. Таким образом, инверсная населенность на рабочем переходе и, следовательно, мощность излуч</w:t>
      </w:r>
      <w:r>
        <w:t>е</w:t>
      </w:r>
      <w:r>
        <w:t xml:space="preserve">ния лазера линейно связана с мощностью (энергией) накачки. Используя выше приведенные рассуждения и зависимость </w:t>
      </w:r>
      <w:r>
        <w:rPr>
          <w:i/>
        </w:rPr>
        <w:t>Р</w:t>
      </w:r>
      <w:r>
        <w:rPr>
          <w:i/>
          <w:vertAlign w:val="subscript"/>
        </w:rPr>
        <w:t>изл</w:t>
      </w:r>
      <w:r>
        <w:rPr>
          <w:i/>
        </w:rPr>
        <w:t xml:space="preserve"> = </w:t>
      </w:r>
      <w:r>
        <w:rPr>
          <w:i/>
          <w:lang w:val="en-US"/>
        </w:rPr>
        <w:t>f</w:t>
      </w:r>
      <w:r>
        <w:rPr>
          <w:i/>
        </w:rPr>
        <w:t xml:space="preserve"> (Р</w:t>
      </w:r>
      <w:r>
        <w:rPr>
          <w:i/>
          <w:vertAlign w:val="subscript"/>
        </w:rPr>
        <w:t>н</w:t>
      </w:r>
      <w:r>
        <w:rPr>
          <w:i/>
        </w:rPr>
        <w:t>)</w:t>
      </w:r>
      <w:r>
        <w:t xml:space="preserve">  коэффиц</w:t>
      </w:r>
      <w:r>
        <w:t>и</w:t>
      </w:r>
      <w:r>
        <w:t>ент полезного действия лазера, работающего в непрерывном режиме, может быть определен с</w:t>
      </w:r>
      <w:r>
        <w:t>о</w:t>
      </w:r>
      <w:r>
        <w:t>отношением</w:t>
      </w:r>
    </w:p>
    <w:p w:rsidR="000137AD" w:rsidRDefault="000137AD" w:rsidP="001E22A7">
      <w:pPr>
        <w:rPr>
          <w:rFonts w:ascii="MS Shell Dlg" w:hAnsi="MS Shell Dlg"/>
          <w:i/>
        </w:rPr>
      </w:pPr>
      <w:r>
        <w:rPr>
          <w:i/>
        </w:rPr>
        <w:t>η = Р</w:t>
      </w:r>
      <w:r>
        <w:rPr>
          <w:i/>
          <w:vertAlign w:val="subscript"/>
        </w:rPr>
        <w:t xml:space="preserve">изл </w:t>
      </w:r>
      <w:r>
        <w:rPr>
          <w:i/>
        </w:rPr>
        <w:t>/ Р</w:t>
      </w:r>
      <w:r>
        <w:rPr>
          <w:i/>
          <w:vertAlign w:val="subscript"/>
        </w:rPr>
        <w:t xml:space="preserve">н </w:t>
      </w:r>
      <w:r>
        <w:rPr>
          <w:i/>
        </w:rPr>
        <w:t xml:space="preserve">= С </w:t>
      </w:r>
      <w:r>
        <w:rPr>
          <w:rFonts w:ascii="Times New Roman CYR" w:hAnsi="Times New Roman CYR"/>
          <w:i/>
        </w:rPr>
        <w:t>· (</w:t>
      </w:r>
      <w:r>
        <w:rPr>
          <w:i/>
        </w:rPr>
        <w:t>Р</w:t>
      </w:r>
      <w:r>
        <w:rPr>
          <w:i/>
          <w:vertAlign w:val="subscript"/>
        </w:rPr>
        <w:t xml:space="preserve">н </w:t>
      </w:r>
      <w:r>
        <w:rPr>
          <w:i/>
        </w:rPr>
        <w:t>- Р</w:t>
      </w:r>
      <w:r>
        <w:rPr>
          <w:i/>
          <w:vertAlign w:val="subscript"/>
        </w:rPr>
        <w:t xml:space="preserve">н пор </w:t>
      </w:r>
      <w:r>
        <w:rPr>
          <w:i/>
        </w:rPr>
        <w:t>) / Р</w:t>
      </w:r>
      <w:r>
        <w:rPr>
          <w:i/>
          <w:vertAlign w:val="subscript"/>
        </w:rPr>
        <w:t>н ,</w:t>
      </w:r>
    </w:p>
    <w:p w:rsidR="000137AD" w:rsidRDefault="000137AD" w:rsidP="001E22A7">
      <w:r>
        <w:t xml:space="preserve">где </w:t>
      </w:r>
      <w:r>
        <w:rPr>
          <w:i/>
        </w:rPr>
        <w:t>Р</w:t>
      </w:r>
      <w:r>
        <w:rPr>
          <w:i/>
          <w:vertAlign w:val="subscript"/>
        </w:rPr>
        <w:t>изл</w:t>
      </w:r>
      <w:r>
        <w:t xml:space="preserve"> – мощность излучения, </w:t>
      </w:r>
      <w:r>
        <w:rPr>
          <w:i/>
        </w:rPr>
        <w:t>Р</w:t>
      </w:r>
      <w:r>
        <w:rPr>
          <w:i/>
          <w:vertAlign w:val="subscript"/>
        </w:rPr>
        <w:t>н</w:t>
      </w:r>
      <w:r>
        <w:t xml:space="preserve"> – мощность накачки, </w:t>
      </w:r>
      <w:r>
        <w:rPr>
          <w:i/>
        </w:rPr>
        <w:t>Р</w:t>
      </w:r>
      <w:r>
        <w:rPr>
          <w:i/>
          <w:vertAlign w:val="subscript"/>
        </w:rPr>
        <w:t>н пор</w:t>
      </w:r>
      <w:r>
        <w:t>. – п</w:t>
      </w:r>
      <w:r>
        <w:t>о</w:t>
      </w:r>
      <w:r>
        <w:t xml:space="preserve">роговая мощность накачки, </w:t>
      </w:r>
      <w:r>
        <w:rPr>
          <w:i/>
        </w:rPr>
        <w:t>С</w:t>
      </w:r>
      <w:r>
        <w:t xml:space="preserve"> – коэффициент, определяемый эффекти</w:t>
      </w:r>
      <w:r>
        <w:t>в</w:t>
      </w:r>
      <w:r>
        <w:t>ность источника накачки, отражателя, потерями в резонаторе и пропу</w:t>
      </w:r>
      <w:r>
        <w:t>с</w:t>
      </w:r>
      <w:r>
        <w:t>канием полупрозрачного зеркала, через которое выходит лазерное изл</w:t>
      </w:r>
      <w:r>
        <w:t>у</w:t>
      </w:r>
      <w:r>
        <w:t xml:space="preserve">чение. </w:t>
      </w:r>
    </w:p>
    <w:p w:rsidR="000137AD" w:rsidRDefault="000137AD" w:rsidP="001E22A7">
      <w:r>
        <w:lastRenderedPageBreak/>
        <w:t>Для лазеров импульсного режима выражение для КПД будет по</w:t>
      </w:r>
      <w:r>
        <w:t>л</w:t>
      </w:r>
      <w:r>
        <w:t>ностью аналогично, только вместо значений мощностей необходимо поставить соо</w:t>
      </w:r>
      <w:r>
        <w:t>т</w:t>
      </w:r>
      <w:r>
        <w:t>ветствующие энергии. Рассмотрим характеристику влияния коэффициента пропускания полупрозрачного зеркала на энергию (мо</w:t>
      </w:r>
      <w:r>
        <w:t>щ</w:t>
      </w:r>
      <w:r>
        <w:t xml:space="preserve">ность) излучения – </w:t>
      </w:r>
      <w:r>
        <w:rPr>
          <w:i/>
          <w:lang w:val="en-US"/>
        </w:rPr>
        <w:t>W</w:t>
      </w:r>
      <w:r>
        <w:rPr>
          <w:i/>
          <w:vertAlign w:val="subscript"/>
        </w:rPr>
        <w:t>изл</w:t>
      </w:r>
      <w:r>
        <w:t xml:space="preserve">. (рисунок 20.19). С увеличением пропускания зеркала (1 – </w:t>
      </w:r>
      <w:r>
        <w:rPr>
          <w:i/>
        </w:rPr>
        <w:t>r</w:t>
      </w:r>
      <w:r>
        <w:rPr>
          <w:i/>
          <w:vertAlign w:val="subscript"/>
        </w:rPr>
        <w:t>2</w:t>
      </w:r>
      <w:r>
        <w:t xml:space="preserve">), (где </w:t>
      </w:r>
      <w:r>
        <w:rPr>
          <w:i/>
        </w:rPr>
        <w:t>r</w:t>
      </w:r>
      <w:r>
        <w:rPr>
          <w:i/>
          <w:vertAlign w:val="subscript"/>
        </w:rPr>
        <w:t>2</w:t>
      </w:r>
      <w:r>
        <w:t xml:space="preserve"> – коэффициент отражения полупрозрачного зеркала) возрастают потери на излуч</w:t>
      </w:r>
      <w:r>
        <w:t>е</w:t>
      </w:r>
      <w:r>
        <w:t xml:space="preserve">ние и пороговая энергия накачки </w:t>
      </w:r>
      <w:r>
        <w:rPr>
          <w:i/>
          <w:lang w:val="en-US"/>
        </w:rPr>
        <w:t>W</w:t>
      </w:r>
      <w:r>
        <w:rPr>
          <w:i/>
          <w:vertAlign w:val="subscript"/>
        </w:rPr>
        <w:t>н.пор</w:t>
      </w:r>
      <w:r>
        <w:rPr>
          <w:i/>
        </w:rPr>
        <w:t>,</w:t>
      </w:r>
      <w:r>
        <w:t xml:space="preserve"> так как суммарные потери увеличиваю</w:t>
      </w:r>
      <w:r>
        <w:t>т</w:t>
      </w:r>
      <w:r>
        <w:t>ся.</w:t>
      </w:r>
    </w:p>
    <w:p w:rsidR="000137AD" w:rsidRDefault="000137AD" w:rsidP="001E22A7">
      <w:r>
        <w:t xml:space="preserve">При (1 – </w:t>
      </w:r>
      <w:r>
        <w:rPr>
          <w:i/>
        </w:rPr>
        <w:t>r</w:t>
      </w:r>
      <w:r>
        <w:rPr>
          <w:i/>
          <w:vertAlign w:val="subscript"/>
        </w:rPr>
        <w:t>2</w:t>
      </w:r>
      <w:r>
        <w:t>) = 0, энергия во внешнее пространство не выводится, она полностью остается в резонаторе. С ростом коэффициента пропу</w:t>
      </w:r>
      <w:r>
        <w:t>с</w:t>
      </w:r>
      <w:r>
        <w:t xml:space="preserve">кания до (1 – </w:t>
      </w:r>
      <w:r>
        <w:rPr>
          <w:i/>
        </w:rPr>
        <w:t>r</w:t>
      </w:r>
      <w:r>
        <w:rPr>
          <w:i/>
          <w:vertAlign w:val="subscript"/>
        </w:rPr>
        <w:t>2</w:t>
      </w:r>
      <w:r>
        <w:t>)</w:t>
      </w:r>
      <w:r>
        <w:rPr>
          <w:i/>
          <w:vertAlign w:val="subscript"/>
        </w:rPr>
        <w:t>опт</w:t>
      </w:r>
      <w:r>
        <w:t xml:space="preserve"> энергия излучения </w:t>
      </w:r>
      <w:r>
        <w:rPr>
          <w:i/>
          <w:lang w:val="en-US"/>
        </w:rPr>
        <w:t>W</w:t>
      </w:r>
      <w:r>
        <w:rPr>
          <w:i/>
          <w:vertAlign w:val="subscript"/>
        </w:rPr>
        <w:t>изл</w:t>
      </w:r>
      <w:r>
        <w:rPr>
          <w:i/>
        </w:rPr>
        <w:t>.</w:t>
      </w:r>
      <w:r>
        <w:t xml:space="preserve"> увеличивается за счет во</w:t>
      </w:r>
      <w:r>
        <w:t>з</w:t>
      </w:r>
      <w:r>
        <w:t xml:space="preserve">растания доли выводимой энергии. Снижение </w:t>
      </w:r>
      <w:r>
        <w:rPr>
          <w:i/>
          <w:lang w:val="en-US"/>
        </w:rPr>
        <w:t>W</w:t>
      </w:r>
      <w:r>
        <w:rPr>
          <w:i/>
          <w:vertAlign w:val="subscript"/>
        </w:rPr>
        <w:t>изл</w:t>
      </w:r>
      <w:r>
        <w:t xml:space="preserve"> при дальнейшем ув</w:t>
      </w:r>
      <w:r>
        <w:t>е</w:t>
      </w:r>
      <w:r>
        <w:t xml:space="preserve">личении (1 – </w:t>
      </w:r>
      <w:r>
        <w:rPr>
          <w:i/>
        </w:rPr>
        <w:t>r</w:t>
      </w:r>
      <w:r>
        <w:rPr>
          <w:i/>
          <w:vertAlign w:val="subscript"/>
        </w:rPr>
        <w:t>2</w:t>
      </w:r>
      <w:r>
        <w:t>) обусловлено уменьшением плотности потока излучения в активной среде, а, следовательно, и уменьшением вероятности индуцированных переходов, что приводит к уменьшению числа фотонов, г</w:t>
      </w:r>
      <w:r>
        <w:t>е</w:t>
      </w:r>
      <w:r>
        <w:t>нерируемых в активной среде. Для частичной компенсации описыва</w:t>
      </w:r>
      <w:r>
        <w:t>е</w:t>
      </w:r>
      <w:r>
        <w:t>мых процессов, определяющих суммарные потери, необходимо при ув</w:t>
      </w:r>
      <w:r>
        <w:t>е</w:t>
      </w:r>
      <w:r>
        <w:t xml:space="preserve">личении (1 – </w:t>
      </w:r>
      <w:r>
        <w:rPr>
          <w:i/>
        </w:rPr>
        <w:t>r</w:t>
      </w:r>
      <w:r>
        <w:rPr>
          <w:i/>
          <w:vertAlign w:val="subscript"/>
        </w:rPr>
        <w:t>2</w:t>
      </w:r>
      <w:r>
        <w:t xml:space="preserve">) увеличивать </w:t>
      </w:r>
      <w:r>
        <w:rPr>
          <w:i/>
          <w:lang w:val="en-US"/>
        </w:rPr>
        <w:t>W</w:t>
      </w:r>
      <w:r>
        <w:rPr>
          <w:i/>
          <w:vertAlign w:val="subscript"/>
        </w:rPr>
        <w:t>н пор</w:t>
      </w:r>
      <w:r>
        <w:t xml:space="preserve">. Коэффициент пропускания (1 – </w:t>
      </w:r>
      <w:r>
        <w:rPr>
          <w:i/>
        </w:rPr>
        <w:t>r</w:t>
      </w:r>
      <w:r>
        <w:rPr>
          <w:i/>
          <w:vertAlign w:val="subscript"/>
        </w:rPr>
        <w:t>2</w:t>
      </w:r>
      <w:r>
        <w:t>)</w:t>
      </w:r>
      <w:r>
        <w:rPr>
          <w:i/>
          <w:vertAlign w:val="subscript"/>
        </w:rPr>
        <w:t>опт</w:t>
      </w:r>
      <w:r>
        <w:t xml:space="preserve"> для большинства лазеров колеблется в пределах 20-60%, но для очень мощных лазеров он может достигать значений близких к 90 %. В п</w:t>
      </w:r>
      <w:r>
        <w:t>о</w:t>
      </w:r>
      <w:r>
        <w:t>следнем случае полупрозрачное зеркало вообще может отсутствовать. Его роль выполняет торцевая поверхность активного кристалла, отр</w:t>
      </w:r>
      <w:r>
        <w:t>а</w:t>
      </w:r>
      <w:r>
        <w:t>жающая 5-8 % падающего на нее излучения. На энергетические и спе</w:t>
      </w:r>
      <w:r>
        <w:t>к</w:t>
      </w:r>
      <w:r>
        <w:t>тральные характеристики твердотельных лазеров сильное влияние ок</w:t>
      </w:r>
      <w:r>
        <w:t>а</w:t>
      </w:r>
      <w:r>
        <w:t>зывает температурный режим активной среды. Изменение температуры активной среды влияет на пространственное распределение ионов в а</w:t>
      </w:r>
      <w:r>
        <w:t>к</w:t>
      </w:r>
      <w:r>
        <w:t>тивном кристалле, что приводит к изменению внутреннего электрич</w:t>
      </w:r>
      <w:r>
        <w:t>е</w:t>
      </w:r>
      <w:r>
        <w:t>ского поля, которое участвует в формировании энергетического спектра активных веществ. Можно отметить несколько эффектов влияния на п</w:t>
      </w:r>
      <w:r>
        <w:t>а</w:t>
      </w:r>
      <w:r>
        <w:t xml:space="preserve">раметры лазеров изменения температуры активного кристалла: </w:t>
      </w:r>
    </w:p>
    <w:p w:rsidR="000137AD" w:rsidRDefault="000137AD" w:rsidP="001E22A7">
      <w:r>
        <w:t>1. Нарушается положение энергетических уровней, что вызывает изменение длины волны излучения;</w:t>
      </w:r>
    </w:p>
    <w:p w:rsidR="000137AD" w:rsidRDefault="000137AD" w:rsidP="001E22A7">
      <w:r>
        <w:t>Существенно расширяется спектральная линия и, следовательно, монохроматичности изл</w:t>
      </w:r>
      <w:r>
        <w:t>у</w:t>
      </w:r>
      <w:r>
        <w:t xml:space="preserve">чения лазера; </w:t>
      </w:r>
    </w:p>
    <w:p w:rsidR="000137AD" w:rsidRDefault="000137AD" w:rsidP="001E22A7">
      <w:r>
        <w:t>3. Уменьшается величина излучаемой энергии и КПД лазера из-за ра</w:t>
      </w:r>
      <w:r>
        <w:t>с</w:t>
      </w:r>
      <w:r>
        <w:t>ширения контура спе</w:t>
      </w:r>
      <w:r>
        <w:t>к</w:t>
      </w:r>
      <w:r>
        <w:t>тральной линии излучения;</w:t>
      </w:r>
    </w:p>
    <w:p w:rsidR="000137AD" w:rsidRPr="001703EB" w:rsidRDefault="000137AD" w:rsidP="001E22A7">
      <w:r>
        <w:t>Происходит ограничение максимальной частоты повторения импул</w:t>
      </w:r>
      <w:r>
        <w:t>ь</w:t>
      </w:r>
      <w:r>
        <w:t>сов лазерного излучения из-за изменения удельной теплоемкости и теплопроводности активной среды, а также из-за снижения эффективности системы охла</w:t>
      </w:r>
      <w:r>
        <w:t>ж</w:t>
      </w:r>
      <w:r>
        <w:t>дения.</w:t>
      </w:r>
    </w:p>
    <w:p w:rsidR="00872E7A" w:rsidRPr="006E7376" w:rsidRDefault="00872E7A" w:rsidP="001E22A7"/>
    <w:sectPr w:rsidR="00872E7A" w:rsidRPr="006E7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hell Dlg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44602"/>
    <w:multiLevelType w:val="multilevel"/>
    <w:tmpl w:val="1E1470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62A93E04"/>
    <w:multiLevelType w:val="multilevel"/>
    <w:tmpl w:val="3244A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noPunctuationKerning/>
  <w:characterSpacingControl w:val="doNotCompress"/>
  <w:compat>
    <w:applyBreakingRules/>
  </w:compat>
  <w:rsids>
    <w:rsidRoot w:val="00A1497A"/>
    <w:rsid w:val="000137AD"/>
    <w:rsid w:val="00046396"/>
    <w:rsid w:val="00101F2E"/>
    <w:rsid w:val="00141BEA"/>
    <w:rsid w:val="001C68CF"/>
    <w:rsid w:val="001E22A7"/>
    <w:rsid w:val="002603C3"/>
    <w:rsid w:val="002F15CC"/>
    <w:rsid w:val="003002A0"/>
    <w:rsid w:val="00432C5B"/>
    <w:rsid w:val="00476566"/>
    <w:rsid w:val="004B1C8C"/>
    <w:rsid w:val="00512F95"/>
    <w:rsid w:val="00514832"/>
    <w:rsid w:val="00594C68"/>
    <w:rsid w:val="005E68C9"/>
    <w:rsid w:val="00687478"/>
    <w:rsid w:val="006E7376"/>
    <w:rsid w:val="00732046"/>
    <w:rsid w:val="007557BD"/>
    <w:rsid w:val="0084294F"/>
    <w:rsid w:val="00850A0B"/>
    <w:rsid w:val="00872E7A"/>
    <w:rsid w:val="008A4A03"/>
    <w:rsid w:val="008F1FA8"/>
    <w:rsid w:val="008F50EB"/>
    <w:rsid w:val="00920AB0"/>
    <w:rsid w:val="009455F9"/>
    <w:rsid w:val="00951E47"/>
    <w:rsid w:val="009945E0"/>
    <w:rsid w:val="00994B83"/>
    <w:rsid w:val="00A028D5"/>
    <w:rsid w:val="00A1497A"/>
    <w:rsid w:val="00A25354"/>
    <w:rsid w:val="00B359B7"/>
    <w:rsid w:val="00B55838"/>
    <w:rsid w:val="00CC5438"/>
    <w:rsid w:val="00CD2C13"/>
    <w:rsid w:val="00D328DB"/>
    <w:rsid w:val="00ED6A94"/>
    <w:rsid w:val="00F472E4"/>
    <w:rsid w:val="00FA2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2A0"/>
    <w:pPr>
      <w:spacing w:line="360" w:lineRule="auto"/>
      <w:ind w:firstLine="709"/>
      <w:jc w:val="both"/>
    </w:pPr>
    <w:rPr>
      <w:sz w:val="24"/>
    </w:rPr>
  </w:style>
  <w:style w:type="paragraph" w:styleId="1">
    <w:name w:val="heading 1"/>
    <w:basedOn w:val="a"/>
    <w:next w:val="a"/>
    <w:qFormat/>
    <w:rsid w:val="00101F2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732046"/>
    <w:pPr>
      <w:keepNext/>
      <w:spacing w:before="240" w:after="60"/>
      <w:jc w:val="center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455F9"/>
    <w:pPr>
      <w:keepNext/>
      <w:spacing w:before="240" w:after="6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51E47"/>
    <w:pPr>
      <w:keepNext/>
      <w:spacing w:before="240"/>
      <w:ind w:firstLine="720"/>
      <w:outlineLvl w:val="3"/>
    </w:pPr>
    <w:rPr>
      <w:b/>
      <w:bCs/>
      <w:sz w:val="26"/>
      <w:szCs w:val="28"/>
      <w:lang w:val="en-US" w:eastAsia="en-US"/>
    </w:rPr>
  </w:style>
  <w:style w:type="paragraph" w:styleId="5">
    <w:name w:val="heading 5"/>
    <w:basedOn w:val="a"/>
    <w:next w:val="a"/>
    <w:qFormat/>
    <w:rsid w:val="00FA24BA"/>
    <w:pPr>
      <w:keepNext/>
      <w:spacing w:before="240" w:after="60"/>
      <w:ind w:firstLine="720"/>
      <w:outlineLvl w:val="4"/>
    </w:pPr>
    <w:rPr>
      <w:b/>
      <w:bCs/>
      <w:i/>
      <w:iCs/>
      <w:sz w:val="26"/>
      <w:szCs w:val="26"/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heading4">
    <w:name w:val="heading 4"/>
    <w:basedOn w:val="a"/>
    <w:next w:val="a"/>
    <w:rsid w:val="00920AB0"/>
    <w:pPr>
      <w:keepNext/>
      <w:keepLines/>
      <w:ind w:firstLine="0"/>
      <w:jc w:val="left"/>
    </w:pPr>
    <w:rPr>
      <w:b/>
      <w:sz w:val="26"/>
      <w:szCs w:val="28"/>
    </w:rPr>
  </w:style>
  <w:style w:type="paragraph" w:styleId="a3">
    <w:name w:val="Body Text"/>
    <w:basedOn w:val="a"/>
    <w:rsid w:val="00D328DB"/>
    <w:pPr>
      <w:spacing w:line="480" w:lineRule="auto"/>
      <w:ind w:firstLine="0"/>
    </w:pPr>
    <w:rPr>
      <w:szCs w:val="24"/>
    </w:rPr>
  </w:style>
  <w:style w:type="paragraph" w:styleId="a4">
    <w:name w:val="Body Text Indent"/>
    <w:basedOn w:val="a"/>
    <w:rsid w:val="007557BD"/>
    <w:pPr>
      <w:spacing w:after="120"/>
      <w:ind w:left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2.wmf"/><Relationship Id="rId7" Type="http://schemas.openxmlformats.org/officeDocument/2006/relationships/image" Target="media/image2.png"/><Relationship Id="rId12" Type="http://schemas.openxmlformats.org/officeDocument/2006/relationships/image" Target="media/image6.wmf"/><Relationship Id="rId17" Type="http://schemas.openxmlformats.org/officeDocument/2006/relationships/image" Target="media/image9.wmf"/><Relationship Id="rId25" Type="http://schemas.openxmlformats.org/officeDocument/2006/relationships/image" Target="media/image14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7.bin"/><Relationship Id="rId5" Type="http://schemas.openxmlformats.org/officeDocument/2006/relationships/image" Target="media/image1.wmf"/><Relationship Id="rId15" Type="http://schemas.openxmlformats.org/officeDocument/2006/relationships/oleObject" Target="embeddings/oleObject4.bin"/><Relationship Id="rId23" Type="http://schemas.openxmlformats.org/officeDocument/2006/relationships/image" Target="media/image13.wmf"/><Relationship Id="rId10" Type="http://schemas.openxmlformats.org/officeDocument/2006/relationships/image" Target="media/image5.wmf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7.wmf"/><Relationship Id="rId22" Type="http://schemas.openxmlformats.org/officeDocument/2006/relationships/oleObject" Target="embeddings/oleObject6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4102</Words>
  <Characters>23385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Лекция 13</vt:lpstr>
    </vt:vector>
  </TitlesOfParts>
  <Company/>
  <LinksUpToDate>false</LinksUpToDate>
  <CharactersWithSpaces>27433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Лекция 13</dc:title>
  <dc:creator>Dell</dc:creator>
  <cp:lastModifiedBy>Лео</cp:lastModifiedBy>
  <cp:revision>2</cp:revision>
  <dcterms:created xsi:type="dcterms:W3CDTF">2009-12-13T19:06:00Z</dcterms:created>
  <dcterms:modified xsi:type="dcterms:W3CDTF">2009-12-13T19:06:00Z</dcterms:modified>
</cp:coreProperties>
</file>